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B1" w:rsidRPr="002C4A64" w:rsidRDefault="00591CB1" w:rsidP="00591CB1">
      <w:pPr>
        <w:pStyle w:val="NormalWeb"/>
        <w:jc w:val="both"/>
        <w:rPr>
          <w:rFonts w:ascii="Calibri" w:hAnsi="Calibri" w:cs="Arial"/>
          <w:b/>
          <w:bCs/>
          <w:i/>
          <w:iCs/>
          <w:color w:val="7F7F7F" w:themeColor="text1" w:themeTint="80"/>
          <w:sz w:val="26"/>
          <w:szCs w:val="26"/>
        </w:rPr>
      </w:pPr>
      <w:r w:rsidRPr="002C4A64">
        <w:rPr>
          <w:rFonts w:ascii="Calibri" w:hAnsi="Calibri" w:cs="Arial"/>
          <w:b/>
          <w:bCs/>
          <w:i/>
          <w:iCs/>
          <w:color w:val="7F7F7F" w:themeColor="text1" w:themeTint="80"/>
          <w:sz w:val="26"/>
          <w:szCs w:val="26"/>
        </w:rPr>
        <w:tab/>
        <w:t xml:space="preserve">León, Guanajuato, a </w:t>
      </w:r>
      <w:r w:rsidR="006B0DD3">
        <w:rPr>
          <w:rFonts w:ascii="Calibri" w:hAnsi="Calibri" w:cs="Arial"/>
          <w:b/>
          <w:bCs/>
          <w:i/>
          <w:iCs/>
          <w:color w:val="7F7F7F" w:themeColor="text1" w:themeTint="80"/>
          <w:sz w:val="26"/>
          <w:szCs w:val="26"/>
        </w:rPr>
        <w:t>8</w:t>
      </w:r>
      <w:r w:rsidR="00D60870">
        <w:rPr>
          <w:rFonts w:ascii="Calibri" w:hAnsi="Calibri" w:cs="Arial"/>
          <w:b/>
          <w:bCs/>
          <w:i/>
          <w:iCs/>
          <w:color w:val="7F7F7F" w:themeColor="text1" w:themeTint="80"/>
          <w:sz w:val="26"/>
          <w:szCs w:val="26"/>
        </w:rPr>
        <w:t xml:space="preserve"> </w:t>
      </w:r>
      <w:r w:rsidR="006B0DD3">
        <w:rPr>
          <w:rFonts w:ascii="Calibri" w:hAnsi="Calibri" w:cs="Arial"/>
          <w:b/>
          <w:bCs/>
          <w:i/>
          <w:iCs/>
          <w:color w:val="7F7F7F" w:themeColor="text1" w:themeTint="80"/>
          <w:sz w:val="26"/>
          <w:szCs w:val="26"/>
        </w:rPr>
        <w:t xml:space="preserve">ocho </w:t>
      </w:r>
      <w:r w:rsidR="00D60870">
        <w:rPr>
          <w:rFonts w:ascii="Calibri" w:hAnsi="Calibri" w:cs="Arial"/>
          <w:b/>
          <w:bCs/>
          <w:i/>
          <w:iCs/>
          <w:color w:val="7F7F7F" w:themeColor="text1" w:themeTint="80"/>
          <w:sz w:val="26"/>
          <w:szCs w:val="26"/>
        </w:rPr>
        <w:t>de octubre</w:t>
      </w:r>
      <w:r w:rsidRPr="002C4A64">
        <w:rPr>
          <w:rFonts w:ascii="Calibri" w:hAnsi="Calibri" w:cs="Arial"/>
          <w:b/>
          <w:bCs/>
          <w:i/>
          <w:iCs/>
          <w:color w:val="7F7F7F" w:themeColor="text1" w:themeTint="80"/>
          <w:sz w:val="26"/>
          <w:szCs w:val="26"/>
        </w:rPr>
        <w:t xml:space="preserve"> del año 2013 dos mil trece</w:t>
      </w:r>
      <w:r w:rsidR="009A6989">
        <w:rPr>
          <w:rFonts w:ascii="Calibri" w:hAnsi="Calibri" w:cs="Arial"/>
          <w:bCs/>
          <w:iCs/>
          <w:color w:val="7F7F7F" w:themeColor="text1" w:themeTint="80"/>
          <w:sz w:val="26"/>
          <w:szCs w:val="26"/>
        </w:rPr>
        <w:t xml:space="preserve">. . . . . . . </w:t>
      </w:r>
    </w:p>
    <w:p w:rsidR="00591CB1" w:rsidRPr="002C4A64" w:rsidRDefault="00591CB1" w:rsidP="00591CB1">
      <w:pPr>
        <w:pStyle w:val="NormalWeb"/>
        <w:ind w:firstLine="708"/>
        <w:jc w:val="both"/>
        <w:rPr>
          <w:rFonts w:ascii="Calibri" w:hAnsi="Calibri"/>
          <w:b/>
          <w:bCs/>
          <w:i/>
          <w:iCs/>
          <w:color w:val="7F7F7F" w:themeColor="text1" w:themeTint="80"/>
          <w:sz w:val="26"/>
          <w:szCs w:val="26"/>
        </w:rPr>
      </w:pPr>
      <w:r w:rsidRPr="002C4A64">
        <w:rPr>
          <w:rFonts w:ascii="Calibri" w:hAnsi="Calibri" w:cs="Arial"/>
          <w:b/>
          <w:i/>
          <w:iCs/>
          <w:color w:val="7F7F7F" w:themeColor="text1" w:themeTint="80"/>
          <w:sz w:val="26"/>
          <w:szCs w:val="26"/>
        </w:rPr>
        <w:t xml:space="preserve">V I S T O S </w:t>
      </w:r>
      <w:r w:rsidRPr="002C4A64">
        <w:rPr>
          <w:rFonts w:ascii="Calibri" w:hAnsi="Calibri" w:cs="Arial"/>
          <w:color w:val="7F7F7F" w:themeColor="text1" w:themeTint="80"/>
          <w:sz w:val="26"/>
          <w:szCs w:val="26"/>
        </w:rPr>
        <w:t xml:space="preserve">para dictar sentencia definitiva, los autos del proceso administrativo, identificado con el número </w:t>
      </w:r>
      <w:r w:rsidRPr="002C4A64">
        <w:rPr>
          <w:rFonts w:ascii="Calibri" w:hAnsi="Calibri" w:cs="Arial"/>
          <w:b/>
          <w:color w:val="7F7F7F" w:themeColor="text1" w:themeTint="80"/>
          <w:sz w:val="26"/>
          <w:szCs w:val="26"/>
        </w:rPr>
        <w:t>41</w:t>
      </w:r>
      <w:r w:rsidRPr="002C4A64">
        <w:rPr>
          <w:rFonts w:ascii="Calibri" w:hAnsi="Calibri" w:cs="Arial"/>
          <w:b/>
          <w:bCs/>
          <w:iCs/>
          <w:color w:val="7F7F7F" w:themeColor="text1" w:themeTint="80"/>
          <w:sz w:val="26"/>
          <w:szCs w:val="26"/>
        </w:rPr>
        <w:t>6/2013-JN</w:t>
      </w:r>
      <w:r w:rsidRPr="002C4A64">
        <w:rPr>
          <w:rFonts w:ascii="Calibri" w:hAnsi="Calibri" w:cs="Arial"/>
          <w:color w:val="7F7F7F" w:themeColor="text1" w:themeTint="80"/>
          <w:sz w:val="26"/>
          <w:szCs w:val="26"/>
        </w:rPr>
        <w:t xml:space="preserve">, promovido por el ciudadano </w:t>
      </w:r>
      <w:r w:rsidR="00307289">
        <w:rPr>
          <w:rFonts w:ascii="Calibri" w:hAnsi="Calibri" w:cs="Arial"/>
          <w:b/>
          <w:color w:val="7F7F7F" w:themeColor="text1" w:themeTint="80"/>
          <w:sz w:val="26"/>
          <w:szCs w:val="26"/>
        </w:rPr>
        <w:t>*****</w:t>
      </w:r>
      <w:r w:rsidRPr="002C4A64">
        <w:rPr>
          <w:rFonts w:ascii="Calibri" w:hAnsi="Calibri" w:cs="Arial"/>
          <w:color w:val="7F7F7F" w:themeColor="text1" w:themeTint="80"/>
          <w:sz w:val="26"/>
          <w:szCs w:val="26"/>
        </w:rPr>
        <w:t xml:space="preserve">; y,. . . . . . . . . . . . . . . . . . . . . . . . . . . . . . . . . . . . </w:t>
      </w:r>
    </w:p>
    <w:p w:rsidR="00591CB1" w:rsidRPr="002C4A64" w:rsidRDefault="00591CB1" w:rsidP="00591CB1">
      <w:pPr>
        <w:pStyle w:val="Textoindependiente"/>
        <w:rPr>
          <w:rFonts w:ascii="Calibri" w:hAnsi="Calibri" w:cs="Arial"/>
          <w:color w:val="7F7F7F" w:themeColor="text1" w:themeTint="80"/>
          <w:sz w:val="26"/>
          <w:szCs w:val="26"/>
        </w:rPr>
      </w:pPr>
    </w:p>
    <w:p w:rsidR="00591CB1" w:rsidRPr="002C4A64" w:rsidRDefault="00591CB1" w:rsidP="00591CB1">
      <w:pPr>
        <w:pStyle w:val="Textoindependiente"/>
        <w:ind w:firstLine="708"/>
        <w:jc w:val="center"/>
        <w:rPr>
          <w:rFonts w:ascii="Calibri" w:hAnsi="Calibri" w:cs="Arial"/>
          <w:b/>
          <w:bCs/>
          <w:i/>
          <w:iCs/>
          <w:color w:val="7F7F7F" w:themeColor="text1" w:themeTint="80"/>
          <w:sz w:val="26"/>
          <w:szCs w:val="26"/>
        </w:rPr>
      </w:pPr>
      <w:r w:rsidRPr="002C4A64">
        <w:rPr>
          <w:rFonts w:ascii="Calibri" w:hAnsi="Calibri" w:cs="Arial"/>
          <w:b/>
          <w:bCs/>
          <w:i/>
          <w:iCs/>
          <w:color w:val="7F7F7F" w:themeColor="text1" w:themeTint="80"/>
          <w:sz w:val="26"/>
          <w:szCs w:val="26"/>
        </w:rPr>
        <w:t xml:space="preserve">C O N S I D E R A N D </w:t>
      </w:r>
      <w:proofErr w:type="gramStart"/>
      <w:r w:rsidRPr="002C4A64">
        <w:rPr>
          <w:rFonts w:ascii="Calibri" w:hAnsi="Calibri" w:cs="Arial"/>
          <w:b/>
          <w:bCs/>
          <w:i/>
          <w:iCs/>
          <w:color w:val="7F7F7F" w:themeColor="text1" w:themeTint="80"/>
          <w:sz w:val="26"/>
          <w:szCs w:val="26"/>
        </w:rPr>
        <w:t>O :</w:t>
      </w:r>
      <w:proofErr w:type="gramEnd"/>
    </w:p>
    <w:p w:rsidR="00591CB1" w:rsidRPr="002C4A64" w:rsidRDefault="00591CB1" w:rsidP="00591CB1">
      <w:pPr>
        <w:pStyle w:val="Textoindependiente"/>
        <w:ind w:firstLine="708"/>
        <w:jc w:val="center"/>
        <w:rPr>
          <w:rFonts w:ascii="Calibri" w:hAnsi="Calibri" w:cs="Arial"/>
          <w:b/>
          <w:bCs/>
          <w:color w:val="7F7F7F" w:themeColor="text1" w:themeTint="80"/>
          <w:sz w:val="26"/>
          <w:szCs w:val="26"/>
        </w:rPr>
      </w:pPr>
    </w:p>
    <w:p w:rsidR="00591CB1" w:rsidRPr="002C4A64" w:rsidRDefault="00591CB1" w:rsidP="00591CB1">
      <w:pPr>
        <w:ind w:firstLine="708"/>
        <w:jc w:val="both"/>
        <w:rPr>
          <w:rFonts w:ascii="Calibri" w:hAnsi="Calibri"/>
          <w:color w:val="7F7F7F" w:themeColor="text1" w:themeTint="80"/>
          <w:sz w:val="26"/>
          <w:szCs w:val="26"/>
        </w:rPr>
      </w:pPr>
      <w:bookmarkStart w:id="0" w:name="_GoBack"/>
      <w:bookmarkEnd w:id="0"/>
      <w:r w:rsidRPr="002C4A64">
        <w:rPr>
          <w:rFonts w:ascii="Calibri" w:hAnsi="Calibri"/>
          <w:b/>
          <w:bCs/>
          <w:i/>
          <w:iCs/>
          <w:color w:val="7F7F7F" w:themeColor="text1" w:themeTint="80"/>
          <w:sz w:val="26"/>
          <w:szCs w:val="26"/>
          <w:lang w:val="es-MX"/>
        </w:rPr>
        <w:t xml:space="preserve">SEGUNDO.- </w:t>
      </w:r>
      <w:r w:rsidRPr="002C4A64">
        <w:rPr>
          <w:rFonts w:ascii="Calibri" w:hAnsi="Calibri"/>
          <w:color w:val="7F7F7F" w:themeColor="text1" w:themeTint="80"/>
          <w:sz w:val="26"/>
          <w:szCs w:val="26"/>
        </w:rPr>
        <w:t xml:space="preserve">El proceso administrativo fue interpuesto oportunamente dentro de los 30 treinta días hábiles siguientes a la fecha en que el actor se ostenta sabedor del acto impugnado; lo que fue el día </w:t>
      </w:r>
      <w:r w:rsidR="00D078A0" w:rsidRPr="002C4A64">
        <w:rPr>
          <w:rFonts w:ascii="Calibri" w:hAnsi="Calibri"/>
          <w:color w:val="7F7F7F" w:themeColor="text1" w:themeTint="80"/>
          <w:sz w:val="26"/>
          <w:szCs w:val="26"/>
        </w:rPr>
        <w:t>20</w:t>
      </w:r>
      <w:r w:rsidRPr="002C4A64">
        <w:rPr>
          <w:rFonts w:ascii="Calibri" w:hAnsi="Calibri"/>
          <w:color w:val="7F7F7F" w:themeColor="text1" w:themeTint="80"/>
          <w:sz w:val="26"/>
          <w:szCs w:val="26"/>
        </w:rPr>
        <w:t xml:space="preserve"> </w:t>
      </w:r>
      <w:r w:rsidR="00D078A0" w:rsidRPr="002C4A64">
        <w:rPr>
          <w:rFonts w:ascii="Calibri" w:hAnsi="Calibri"/>
          <w:color w:val="7F7F7F" w:themeColor="text1" w:themeTint="80"/>
          <w:sz w:val="26"/>
          <w:szCs w:val="26"/>
        </w:rPr>
        <w:t>veinte</w:t>
      </w:r>
      <w:r w:rsidRPr="002C4A64">
        <w:rPr>
          <w:rFonts w:ascii="Calibri" w:hAnsi="Calibri"/>
          <w:color w:val="7F7F7F" w:themeColor="text1" w:themeTint="80"/>
          <w:sz w:val="26"/>
          <w:szCs w:val="26"/>
        </w:rPr>
        <w:t xml:space="preserve"> de </w:t>
      </w:r>
      <w:r w:rsidR="00D078A0" w:rsidRPr="002C4A64">
        <w:rPr>
          <w:rFonts w:ascii="Calibri" w:hAnsi="Calibri"/>
          <w:color w:val="7F7F7F" w:themeColor="text1" w:themeTint="80"/>
          <w:sz w:val="26"/>
          <w:szCs w:val="26"/>
        </w:rPr>
        <w:t>juni</w:t>
      </w:r>
      <w:r w:rsidRPr="002C4A64">
        <w:rPr>
          <w:rFonts w:ascii="Calibri" w:hAnsi="Calibri"/>
          <w:color w:val="7F7F7F" w:themeColor="text1" w:themeTint="80"/>
          <w:sz w:val="26"/>
          <w:szCs w:val="26"/>
        </w:rPr>
        <w:t>o del año 201</w:t>
      </w:r>
      <w:r w:rsidR="00D078A0" w:rsidRPr="002C4A64">
        <w:rPr>
          <w:rFonts w:ascii="Calibri" w:hAnsi="Calibri"/>
          <w:color w:val="7F7F7F" w:themeColor="text1" w:themeTint="80"/>
          <w:sz w:val="26"/>
          <w:szCs w:val="26"/>
        </w:rPr>
        <w:t>3</w:t>
      </w:r>
      <w:r w:rsidRPr="002C4A64">
        <w:rPr>
          <w:rFonts w:ascii="Calibri" w:hAnsi="Calibri"/>
          <w:color w:val="7F7F7F" w:themeColor="text1" w:themeTint="80"/>
          <w:sz w:val="26"/>
          <w:szCs w:val="26"/>
        </w:rPr>
        <w:t xml:space="preserve"> dos mil </w:t>
      </w:r>
      <w:r w:rsidR="00D078A0" w:rsidRPr="002C4A64">
        <w:rPr>
          <w:rFonts w:ascii="Calibri" w:hAnsi="Calibri"/>
          <w:color w:val="7F7F7F" w:themeColor="text1" w:themeTint="80"/>
          <w:sz w:val="26"/>
          <w:szCs w:val="26"/>
        </w:rPr>
        <w:t>tre</w:t>
      </w:r>
      <w:r w:rsidRPr="002C4A64">
        <w:rPr>
          <w:rFonts w:ascii="Calibri" w:hAnsi="Calibri"/>
          <w:color w:val="7F7F7F" w:themeColor="text1" w:themeTint="80"/>
          <w:sz w:val="26"/>
          <w:szCs w:val="26"/>
        </w:rPr>
        <w:t xml:space="preserve">ce; sin que de las constancias que integran la presente causa administrativa se desprenda lo contrario. . . . . . . . . . . . . . . . . . . . . . . . . . . . . . . . . . </w:t>
      </w:r>
      <w:r w:rsidR="0018692B">
        <w:rPr>
          <w:rFonts w:ascii="Calibri" w:hAnsi="Calibri"/>
          <w:color w:val="7F7F7F" w:themeColor="text1" w:themeTint="80"/>
          <w:sz w:val="26"/>
          <w:szCs w:val="26"/>
        </w:rPr>
        <w:t>.</w:t>
      </w:r>
    </w:p>
    <w:p w:rsidR="00591CB1" w:rsidRPr="002C4A64" w:rsidRDefault="00591CB1" w:rsidP="00591CB1">
      <w:pPr>
        <w:ind w:firstLine="708"/>
        <w:jc w:val="both"/>
        <w:rPr>
          <w:rFonts w:ascii="Calibri" w:hAnsi="Calibri"/>
          <w:b/>
          <w:i/>
          <w:iCs/>
          <w:color w:val="7F7F7F" w:themeColor="text1" w:themeTint="80"/>
          <w:sz w:val="26"/>
          <w:szCs w:val="26"/>
        </w:rPr>
      </w:pPr>
    </w:p>
    <w:p w:rsidR="00264CE1" w:rsidRPr="002C4A64" w:rsidRDefault="00591CB1" w:rsidP="00591CB1">
      <w:pPr>
        <w:ind w:firstLine="708"/>
        <w:jc w:val="both"/>
        <w:rPr>
          <w:rFonts w:ascii="Calibri" w:hAnsi="Calibri"/>
          <w:color w:val="7F7F7F" w:themeColor="text1" w:themeTint="80"/>
          <w:sz w:val="26"/>
          <w:szCs w:val="26"/>
        </w:rPr>
      </w:pPr>
      <w:r w:rsidRPr="002C4A64">
        <w:rPr>
          <w:rFonts w:ascii="Calibri" w:hAnsi="Calibri"/>
          <w:b/>
          <w:i/>
          <w:iCs/>
          <w:color w:val="7F7F7F" w:themeColor="text1" w:themeTint="80"/>
          <w:sz w:val="26"/>
          <w:szCs w:val="26"/>
        </w:rPr>
        <w:t xml:space="preserve">TERCERO.- </w:t>
      </w:r>
      <w:r w:rsidRPr="002C4A64">
        <w:rPr>
          <w:rFonts w:ascii="Calibri" w:hAnsi="Calibri"/>
          <w:color w:val="7F7F7F" w:themeColor="text1" w:themeTint="80"/>
          <w:sz w:val="26"/>
          <w:szCs w:val="26"/>
        </w:rPr>
        <w:t>La existencia del acto impugnado, consistente en l</w:t>
      </w:r>
      <w:r w:rsidR="00823E12" w:rsidRPr="002C4A64">
        <w:rPr>
          <w:rFonts w:ascii="Calibri" w:hAnsi="Calibri"/>
          <w:color w:val="7F7F7F" w:themeColor="text1" w:themeTint="80"/>
          <w:sz w:val="26"/>
          <w:szCs w:val="26"/>
        </w:rPr>
        <w:t>a</w:t>
      </w:r>
      <w:r w:rsidRPr="002C4A64">
        <w:rPr>
          <w:rFonts w:ascii="Calibri" w:hAnsi="Calibri"/>
          <w:color w:val="7F7F7F" w:themeColor="text1" w:themeTint="80"/>
          <w:sz w:val="26"/>
          <w:szCs w:val="26"/>
        </w:rPr>
        <w:t xml:space="preserve"> </w:t>
      </w:r>
      <w:r w:rsidR="00823E12" w:rsidRPr="002C4A64">
        <w:rPr>
          <w:rFonts w:ascii="Calibri" w:hAnsi="Calibri"/>
          <w:color w:val="7F7F7F" w:themeColor="text1" w:themeTint="80"/>
          <w:sz w:val="26"/>
          <w:szCs w:val="26"/>
        </w:rPr>
        <w:t>modificación del valor</w:t>
      </w:r>
      <w:r w:rsidRPr="002C4A64">
        <w:rPr>
          <w:rFonts w:ascii="Calibri" w:hAnsi="Calibri"/>
          <w:color w:val="7F7F7F" w:themeColor="text1" w:themeTint="80"/>
          <w:sz w:val="26"/>
        </w:rPr>
        <w:t xml:space="preserve"> fiscal que se le dio al inmueble ubicado en </w:t>
      </w:r>
      <w:r w:rsidR="00823E12" w:rsidRPr="002C4A64">
        <w:rPr>
          <w:rFonts w:ascii="Calibri" w:hAnsi="Calibri"/>
          <w:color w:val="7F7F7F" w:themeColor="text1" w:themeTint="80"/>
          <w:sz w:val="26"/>
        </w:rPr>
        <w:t>la calle Río Guadiana, con número 202 doscientos dos</w:t>
      </w:r>
      <w:r w:rsidRPr="002C4A64">
        <w:rPr>
          <w:rFonts w:ascii="Calibri" w:hAnsi="Calibri"/>
          <w:color w:val="7F7F7F" w:themeColor="text1" w:themeTint="80"/>
          <w:sz w:val="26"/>
        </w:rPr>
        <w:t xml:space="preserve">, </w:t>
      </w:r>
      <w:r w:rsidR="00823E12" w:rsidRPr="002C4A64">
        <w:rPr>
          <w:rFonts w:ascii="Calibri" w:hAnsi="Calibri"/>
          <w:color w:val="7F7F7F" w:themeColor="text1" w:themeTint="80"/>
          <w:sz w:val="26"/>
        </w:rPr>
        <w:t xml:space="preserve">de la colonia Lomas de </w:t>
      </w:r>
      <w:proofErr w:type="spellStart"/>
      <w:r w:rsidR="00823E12" w:rsidRPr="002C4A64">
        <w:rPr>
          <w:rFonts w:ascii="Calibri" w:hAnsi="Calibri"/>
          <w:color w:val="7F7F7F" w:themeColor="text1" w:themeTint="80"/>
          <w:sz w:val="26"/>
        </w:rPr>
        <w:t>Arbide</w:t>
      </w:r>
      <w:proofErr w:type="spellEnd"/>
      <w:r w:rsidR="00823E12" w:rsidRPr="002C4A64">
        <w:rPr>
          <w:rFonts w:ascii="Calibri" w:hAnsi="Calibri"/>
          <w:color w:val="7F7F7F" w:themeColor="text1" w:themeTint="80"/>
          <w:sz w:val="26"/>
        </w:rPr>
        <w:t xml:space="preserve"> de esta ciudad;</w:t>
      </w:r>
      <w:r w:rsidRPr="002C4A64">
        <w:rPr>
          <w:rFonts w:ascii="Calibri" w:hAnsi="Calibri"/>
          <w:color w:val="7F7F7F" w:themeColor="text1" w:themeTint="80"/>
          <w:sz w:val="26"/>
          <w:szCs w:val="26"/>
        </w:rPr>
        <w:t xml:space="preserve"> se encuentra acreditada en autos con la impresión original del estado de cuenta </w:t>
      </w:r>
      <w:r w:rsidR="003D07A3" w:rsidRPr="002C4A64">
        <w:rPr>
          <w:rFonts w:ascii="Calibri" w:hAnsi="Calibri"/>
          <w:color w:val="7F7F7F" w:themeColor="text1" w:themeTint="80"/>
          <w:sz w:val="26"/>
          <w:szCs w:val="26"/>
        </w:rPr>
        <w:t xml:space="preserve">predial, obtenido el día 5 cinco de julio del año </w:t>
      </w:r>
      <w:r w:rsidRPr="002C4A64">
        <w:rPr>
          <w:rFonts w:ascii="Calibri" w:hAnsi="Calibri"/>
          <w:color w:val="7F7F7F" w:themeColor="text1" w:themeTint="80"/>
          <w:sz w:val="26"/>
          <w:szCs w:val="26"/>
        </w:rPr>
        <w:t>201</w:t>
      </w:r>
      <w:r w:rsidR="003D07A3" w:rsidRPr="002C4A64">
        <w:rPr>
          <w:rFonts w:ascii="Calibri" w:hAnsi="Calibri"/>
          <w:color w:val="7F7F7F" w:themeColor="text1" w:themeTint="80"/>
          <w:sz w:val="26"/>
          <w:szCs w:val="26"/>
        </w:rPr>
        <w:t xml:space="preserve">3 </w:t>
      </w:r>
      <w:r w:rsidRPr="002C4A64">
        <w:rPr>
          <w:rFonts w:ascii="Calibri" w:hAnsi="Calibri"/>
          <w:color w:val="7F7F7F" w:themeColor="text1" w:themeTint="80"/>
          <w:sz w:val="26"/>
          <w:szCs w:val="26"/>
        </w:rPr>
        <w:t xml:space="preserve">dos mil </w:t>
      </w:r>
      <w:r w:rsidR="003D07A3" w:rsidRPr="002C4A64">
        <w:rPr>
          <w:rFonts w:ascii="Calibri" w:hAnsi="Calibri"/>
          <w:color w:val="7F7F7F" w:themeColor="text1" w:themeTint="80"/>
          <w:sz w:val="26"/>
          <w:szCs w:val="26"/>
        </w:rPr>
        <w:t>tre</w:t>
      </w:r>
      <w:r w:rsidRPr="002C4A64">
        <w:rPr>
          <w:rFonts w:ascii="Calibri" w:hAnsi="Calibri"/>
          <w:color w:val="7F7F7F" w:themeColor="text1" w:themeTint="80"/>
          <w:sz w:val="26"/>
          <w:szCs w:val="26"/>
        </w:rPr>
        <w:t xml:space="preserve">ce; </w:t>
      </w:r>
      <w:r w:rsidR="00264CE1" w:rsidRPr="002C4A64">
        <w:rPr>
          <w:rFonts w:ascii="Calibri" w:hAnsi="Calibri"/>
          <w:color w:val="7F7F7F" w:themeColor="text1" w:themeTint="80"/>
          <w:sz w:val="26"/>
          <w:szCs w:val="26"/>
        </w:rPr>
        <w:t xml:space="preserve">en el que se señala como valor fiscal </w:t>
      </w:r>
      <w:r w:rsidRPr="002C4A64">
        <w:rPr>
          <w:rFonts w:ascii="Calibri" w:hAnsi="Calibri"/>
          <w:color w:val="7F7F7F" w:themeColor="text1" w:themeTint="80"/>
          <w:sz w:val="26"/>
          <w:szCs w:val="26"/>
        </w:rPr>
        <w:t xml:space="preserve">del inmueble </w:t>
      </w:r>
      <w:r w:rsidR="00264CE1" w:rsidRPr="002C4A64">
        <w:rPr>
          <w:rFonts w:ascii="Calibri" w:hAnsi="Calibri"/>
          <w:color w:val="7F7F7F" w:themeColor="text1" w:themeTint="80"/>
          <w:sz w:val="26"/>
          <w:szCs w:val="26"/>
        </w:rPr>
        <w:t xml:space="preserve">la cantidad </w:t>
      </w:r>
      <w:r w:rsidRPr="002C4A64">
        <w:rPr>
          <w:rFonts w:ascii="Calibri" w:hAnsi="Calibri"/>
          <w:color w:val="7F7F7F" w:themeColor="text1" w:themeTint="80"/>
          <w:sz w:val="26"/>
          <w:szCs w:val="26"/>
        </w:rPr>
        <w:t>de $</w:t>
      </w:r>
      <w:r w:rsidR="00264CE1" w:rsidRPr="002C4A64">
        <w:rPr>
          <w:rFonts w:ascii="Calibri" w:hAnsi="Calibri"/>
          <w:color w:val="7F7F7F" w:themeColor="text1" w:themeTint="80"/>
          <w:sz w:val="26"/>
          <w:szCs w:val="26"/>
        </w:rPr>
        <w:t>2</w:t>
      </w:r>
      <w:r w:rsidRPr="002C4A64">
        <w:rPr>
          <w:rFonts w:ascii="Calibri" w:hAnsi="Calibri"/>
          <w:color w:val="7F7F7F" w:themeColor="text1" w:themeTint="80"/>
          <w:sz w:val="26"/>
          <w:szCs w:val="26"/>
        </w:rPr>
        <w:t>’</w:t>
      </w:r>
      <w:r w:rsidR="00264CE1" w:rsidRPr="002C4A64">
        <w:rPr>
          <w:rFonts w:ascii="Calibri" w:hAnsi="Calibri"/>
          <w:color w:val="7F7F7F" w:themeColor="text1" w:themeTint="80"/>
          <w:sz w:val="26"/>
          <w:szCs w:val="26"/>
        </w:rPr>
        <w:t>839</w:t>
      </w:r>
      <w:r w:rsidRPr="002C4A64">
        <w:rPr>
          <w:rFonts w:ascii="Calibri" w:hAnsi="Calibri"/>
          <w:color w:val="7F7F7F" w:themeColor="text1" w:themeTint="80"/>
          <w:sz w:val="26"/>
          <w:szCs w:val="26"/>
        </w:rPr>
        <w:t>,</w:t>
      </w:r>
      <w:r w:rsidR="00264CE1" w:rsidRPr="002C4A64">
        <w:rPr>
          <w:rFonts w:ascii="Calibri" w:hAnsi="Calibri"/>
          <w:color w:val="7F7F7F" w:themeColor="text1" w:themeTint="80"/>
          <w:sz w:val="26"/>
          <w:szCs w:val="26"/>
        </w:rPr>
        <w:t>957</w:t>
      </w:r>
      <w:r w:rsidRPr="002C4A64">
        <w:rPr>
          <w:rFonts w:ascii="Calibri" w:hAnsi="Calibri"/>
          <w:color w:val="7F7F7F" w:themeColor="text1" w:themeTint="80"/>
          <w:sz w:val="26"/>
          <w:szCs w:val="26"/>
        </w:rPr>
        <w:t>.</w:t>
      </w:r>
      <w:r w:rsidR="00264CE1" w:rsidRPr="002C4A64">
        <w:rPr>
          <w:rFonts w:ascii="Calibri" w:hAnsi="Calibri"/>
          <w:color w:val="7F7F7F" w:themeColor="text1" w:themeTint="80"/>
          <w:sz w:val="26"/>
          <w:szCs w:val="26"/>
        </w:rPr>
        <w:t>28</w:t>
      </w:r>
      <w:r w:rsidRPr="002C4A64">
        <w:rPr>
          <w:rFonts w:ascii="Calibri" w:hAnsi="Calibri"/>
          <w:color w:val="7F7F7F" w:themeColor="text1" w:themeTint="80"/>
          <w:sz w:val="26"/>
          <w:szCs w:val="26"/>
        </w:rPr>
        <w:t xml:space="preserve"> (</w:t>
      </w:r>
      <w:r w:rsidR="00264CE1" w:rsidRPr="002C4A64">
        <w:rPr>
          <w:rFonts w:ascii="Calibri" w:hAnsi="Calibri"/>
          <w:color w:val="7F7F7F" w:themeColor="text1" w:themeTint="80"/>
          <w:sz w:val="26"/>
          <w:szCs w:val="26"/>
        </w:rPr>
        <w:t xml:space="preserve">Dos </w:t>
      </w:r>
      <w:r w:rsidRPr="002C4A64">
        <w:rPr>
          <w:rFonts w:ascii="Calibri" w:hAnsi="Calibri"/>
          <w:color w:val="7F7F7F" w:themeColor="text1" w:themeTint="80"/>
          <w:sz w:val="26"/>
          <w:szCs w:val="26"/>
        </w:rPr>
        <w:t xml:space="preserve">millones </w:t>
      </w:r>
      <w:r w:rsidR="00264CE1" w:rsidRPr="002C4A64">
        <w:rPr>
          <w:rFonts w:ascii="Calibri" w:hAnsi="Calibri"/>
          <w:color w:val="7F7F7F" w:themeColor="text1" w:themeTint="80"/>
          <w:sz w:val="26"/>
          <w:szCs w:val="26"/>
        </w:rPr>
        <w:t>ochocientos trei</w:t>
      </w:r>
      <w:r w:rsidRPr="002C4A64">
        <w:rPr>
          <w:rFonts w:ascii="Calibri" w:hAnsi="Calibri"/>
          <w:color w:val="7F7F7F" w:themeColor="text1" w:themeTint="80"/>
          <w:sz w:val="26"/>
          <w:szCs w:val="26"/>
        </w:rPr>
        <w:t xml:space="preserve">nta y </w:t>
      </w:r>
      <w:r w:rsidR="00264CE1" w:rsidRPr="002C4A64">
        <w:rPr>
          <w:rFonts w:ascii="Calibri" w:hAnsi="Calibri"/>
          <w:color w:val="7F7F7F" w:themeColor="text1" w:themeTint="80"/>
          <w:sz w:val="26"/>
          <w:szCs w:val="26"/>
        </w:rPr>
        <w:t>n</w:t>
      </w:r>
      <w:r w:rsidRPr="002C4A64">
        <w:rPr>
          <w:rFonts w:ascii="Calibri" w:hAnsi="Calibri"/>
          <w:color w:val="7F7F7F" w:themeColor="text1" w:themeTint="80"/>
          <w:sz w:val="26"/>
          <w:szCs w:val="26"/>
        </w:rPr>
        <w:t>u</w:t>
      </w:r>
      <w:r w:rsidR="00264CE1" w:rsidRPr="002C4A64">
        <w:rPr>
          <w:rFonts w:ascii="Calibri" w:hAnsi="Calibri"/>
          <w:color w:val="7F7F7F" w:themeColor="text1" w:themeTint="80"/>
          <w:sz w:val="26"/>
          <w:szCs w:val="26"/>
        </w:rPr>
        <w:t>eve</w:t>
      </w:r>
      <w:r w:rsidRPr="002C4A64">
        <w:rPr>
          <w:rFonts w:ascii="Calibri" w:hAnsi="Calibri"/>
          <w:color w:val="7F7F7F" w:themeColor="text1" w:themeTint="80"/>
          <w:sz w:val="26"/>
          <w:szCs w:val="26"/>
        </w:rPr>
        <w:t xml:space="preserve"> mil </w:t>
      </w:r>
      <w:r w:rsidR="00264CE1" w:rsidRPr="002C4A64">
        <w:rPr>
          <w:rFonts w:ascii="Calibri" w:hAnsi="Calibri"/>
          <w:color w:val="7F7F7F" w:themeColor="text1" w:themeTint="80"/>
          <w:sz w:val="26"/>
          <w:szCs w:val="26"/>
        </w:rPr>
        <w:t>nove</w:t>
      </w:r>
      <w:r w:rsidRPr="002C4A64">
        <w:rPr>
          <w:rFonts w:ascii="Calibri" w:hAnsi="Calibri"/>
          <w:color w:val="7F7F7F" w:themeColor="text1" w:themeTint="80"/>
          <w:sz w:val="26"/>
          <w:szCs w:val="26"/>
        </w:rPr>
        <w:t xml:space="preserve">cientos </w:t>
      </w:r>
      <w:r w:rsidR="00264CE1" w:rsidRPr="002C4A64">
        <w:rPr>
          <w:rFonts w:ascii="Calibri" w:hAnsi="Calibri"/>
          <w:color w:val="7F7F7F" w:themeColor="text1" w:themeTint="80"/>
          <w:sz w:val="26"/>
          <w:szCs w:val="26"/>
        </w:rPr>
        <w:t>c</w:t>
      </w:r>
      <w:r w:rsidRPr="002C4A64">
        <w:rPr>
          <w:rFonts w:ascii="Calibri" w:hAnsi="Calibri"/>
          <w:color w:val="7F7F7F" w:themeColor="text1" w:themeTint="80"/>
          <w:sz w:val="26"/>
          <w:szCs w:val="26"/>
        </w:rPr>
        <w:t>inc</w:t>
      </w:r>
      <w:r w:rsidR="00264CE1" w:rsidRPr="002C4A64">
        <w:rPr>
          <w:rFonts w:ascii="Calibri" w:hAnsi="Calibri"/>
          <w:color w:val="7F7F7F" w:themeColor="text1" w:themeTint="80"/>
          <w:sz w:val="26"/>
          <w:szCs w:val="26"/>
        </w:rPr>
        <w:t>uenta</w:t>
      </w:r>
      <w:r w:rsidRPr="002C4A64">
        <w:rPr>
          <w:rFonts w:ascii="Calibri" w:hAnsi="Calibri"/>
          <w:color w:val="7F7F7F" w:themeColor="text1" w:themeTint="80"/>
          <w:sz w:val="26"/>
          <w:szCs w:val="26"/>
        </w:rPr>
        <w:t xml:space="preserve"> </w:t>
      </w:r>
      <w:r w:rsidR="00264CE1" w:rsidRPr="002C4A64">
        <w:rPr>
          <w:rFonts w:ascii="Calibri" w:hAnsi="Calibri"/>
          <w:color w:val="7F7F7F" w:themeColor="text1" w:themeTint="80"/>
          <w:sz w:val="26"/>
          <w:szCs w:val="26"/>
        </w:rPr>
        <w:t xml:space="preserve">y siete </w:t>
      </w:r>
      <w:r w:rsidRPr="002C4A64">
        <w:rPr>
          <w:rFonts w:ascii="Calibri" w:hAnsi="Calibri"/>
          <w:color w:val="7F7F7F" w:themeColor="text1" w:themeTint="80"/>
          <w:sz w:val="26"/>
          <w:szCs w:val="26"/>
        </w:rPr>
        <w:t xml:space="preserve">pesos </w:t>
      </w:r>
      <w:r w:rsidR="00264CE1" w:rsidRPr="002C4A64">
        <w:rPr>
          <w:rFonts w:ascii="Calibri" w:hAnsi="Calibri"/>
          <w:color w:val="7F7F7F" w:themeColor="text1" w:themeTint="80"/>
          <w:sz w:val="26"/>
          <w:szCs w:val="26"/>
        </w:rPr>
        <w:t>28</w:t>
      </w:r>
      <w:r w:rsidRPr="002C4A64">
        <w:rPr>
          <w:rFonts w:ascii="Calibri" w:hAnsi="Calibri"/>
          <w:color w:val="7F7F7F" w:themeColor="text1" w:themeTint="80"/>
          <w:sz w:val="26"/>
          <w:szCs w:val="26"/>
        </w:rPr>
        <w:t xml:space="preserve">/100 Moneda Nacional); </w:t>
      </w:r>
      <w:r w:rsidR="00264CE1" w:rsidRPr="002C4A64">
        <w:rPr>
          <w:rFonts w:ascii="Calibri" w:hAnsi="Calibri"/>
          <w:color w:val="7F7F7F" w:themeColor="text1" w:themeTint="80"/>
          <w:sz w:val="26"/>
          <w:szCs w:val="26"/>
        </w:rPr>
        <w:t xml:space="preserve">con el mandamiento de embargo del impuesto predial, </w:t>
      </w:r>
      <w:r w:rsidR="0050533E" w:rsidRPr="001D1986">
        <w:rPr>
          <w:rFonts w:ascii="Calibri" w:hAnsi="Calibri"/>
          <w:color w:val="7F7F7F" w:themeColor="text1" w:themeTint="80"/>
          <w:sz w:val="26"/>
          <w:szCs w:val="26"/>
        </w:rPr>
        <w:t>identificado con</w:t>
      </w:r>
      <w:r w:rsidR="001D1986">
        <w:rPr>
          <w:rFonts w:ascii="Calibri" w:hAnsi="Calibri"/>
          <w:color w:val="7F7F7F" w:themeColor="text1" w:themeTint="80"/>
          <w:sz w:val="26"/>
          <w:szCs w:val="26"/>
        </w:rPr>
        <w:t xml:space="preserve"> el número</w:t>
      </w:r>
      <w:r w:rsidR="0050533E" w:rsidRPr="001D1986">
        <w:rPr>
          <w:rFonts w:ascii="Calibri" w:hAnsi="Calibri"/>
          <w:color w:val="7F7F7F" w:themeColor="text1" w:themeTint="80"/>
          <w:sz w:val="26"/>
          <w:szCs w:val="26"/>
        </w:rPr>
        <w:t xml:space="preserve"> PR-2013-00463850, </w:t>
      </w:r>
      <w:r w:rsidR="00264CE1" w:rsidRPr="002C4A64">
        <w:rPr>
          <w:rFonts w:ascii="Calibri" w:hAnsi="Calibri"/>
          <w:color w:val="7F7F7F" w:themeColor="text1" w:themeTint="80"/>
          <w:sz w:val="26"/>
          <w:szCs w:val="26"/>
        </w:rPr>
        <w:t xml:space="preserve">de fecha 10 diez de junio de ese mismo año, en el que se señala ese mismo valor del inmueble; </w:t>
      </w:r>
      <w:r w:rsidRPr="002C4A64">
        <w:rPr>
          <w:rFonts w:ascii="Calibri" w:hAnsi="Calibri"/>
          <w:color w:val="7F7F7F" w:themeColor="text1" w:themeTint="80"/>
          <w:sz w:val="26"/>
          <w:szCs w:val="26"/>
        </w:rPr>
        <w:t>así como con la copia del</w:t>
      </w:r>
      <w:r w:rsidR="00264CE1" w:rsidRPr="002C4A64">
        <w:rPr>
          <w:rFonts w:ascii="Calibri" w:hAnsi="Calibri"/>
          <w:color w:val="7F7F7F" w:themeColor="text1" w:themeTint="80"/>
          <w:sz w:val="26"/>
          <w:szCs w:val="26"/>
        </w:rPr>
        <w:t xml:space="preserve"> estado de cuenta </w:t>
      </w:r>
      <w:r w:rsidR="00237731" w:rsidRPr="002C4A64">
        <w:rPr>
          <w:rFonts w:ascii="Calibri" w:hAnsi="Calibri"/>
          <w:color w:val="7F7F7F" w:themeColor="text1" w:themeTint="80"/>
          <w:sz w:val="26"/>
          <w:szCs w:val="26"/>
        </w:rPr>
        <w:t xml:space="preserve">con fecha de corte al día 20 veinte de diciembre del año 2010 dos mil diez, en el que se desprende que para el pago de impuesto predial del año 2011 dos mil once, el valor del </w:t>
      </w:r>
      <w:r w:rsidR="0059005B">
        <w:rPr>
          <w:rFonts w:ascii="Calibri" w:hAnsi="Calibri"/>
          <w:color w:val="7F7F7F" w:themeColor="text1" w:themeTint="80"/>
          <w:sz w:val="26"/>
          <w:szCs w:val="26"/>
        </w:rPr>
        <w:t>inmueble era la cantidad de $2’</w:t>
      </w:r>
      <w:r w:rsidR="00237731" w:rsidRPr="002C4A64">
        <w:rPr>
          <w:rFonts w:ascii="Calibri" w:hAnsi="Calibri"/>
          <w:color w:val="7F7F7F" w:themeColor="text1" w:themeTint="80"/>
          <w:sz w:val="26"/>
          <w:szCs w:val="26"/>
        </w:rPr>
        <w:t xml:space="preserve">719,208.10 (Dos millones setecientos diecinueve mil doscientos ocho pesos 10/100 Moneda Nacional). . . . . . . . . . . . . . . . . . . . . . . . . . . . . . . . . . . . . </w:t>
      </w:r>
      <w:r w:rsidR="001D1986">
        <w:rPr>
          <w:rFonts w:ascii="Calibri" w:hAnsi="Calibri"/>
          <w:color w:val="7F7F7F" w:themeColor="text1" w:themeTint="80"/>
          <w:sz w:val="26"/>
          <w:szCs w:val="26"/>
        </w:rPr>
        <w:t>. . . . .</w:t>
      </w:r>
    </w:p>
    <w:p w:rsidR="00591CB1" w:rsidRPr="002C4A64" w:rsidRDefault="00591CB1" w:rsidP="0002053A">
      <w:pPr>
        <w:jc w:val="both"/>
        <w:rPr>
          <w:rFonts w:ascii="Calibri" w:hAnsi="Calibri"/>
          <w:color w:val="7F7F7F" w:themeColor="text1" w:themeTint="80"/>
          <w:sz w:val="26"/>
          <w:szCs w:val="26"/>
        </w:rPr>
      </w:pPr>
    </w:p>
    <w:p w:rsidR="00591CB1" w:rsidRDefault="00591CB1" w:rsidP="00591CB1">
      <w:pPr>
        <w:ind w:firstLine="708"/>
        <w:jc w:val="both"/>
        <w:rPr>
          <w:rFonts w:ascii="Calibri" w:hAnsi="Calibri"/>
          <w:color w:val="7F7F7F" w:themeColor="text1" w:themeTint="80"/>
          <w:sz w:val="26"/>
          <w:szCs w:val="26"/>
        </w:rPr>
      </w:pPr>
      <w:r w:rsidRPr="002C4A64">
        <w:rPr>
          <w:rFonts w:ascii="Calibri" w:hAnsi="Calibri"/>
          <w:color w:val="7F7F7F" w:themeColor="text1" w:themeTint="80"/>
          <w:sz w:val="26"/>
          <w:szCs w:val="26"/>
        </w:rPr>
        <w:t xml:space="preserve">Documentales que ofrecidas por la parte actora </w:t>
      </w:r>
      <w:r w:rsidR="005F679C">
        <w:rPr>
          <w:rFonts w:ascii="Calibri" w:hAnsi="Calibri"/>
          <w:color w:val="7F7F7F" w:themeColor="text1" w:themeTint="80"/>
          <w:sz w:val="26"/>
          <w:szCs w:val="26"/>
        </w:rPr>
        <w:t>-</w:t>
      </w:r>
      <w:r w:rsidR="00223859" w:rsidRPr="002C4A64">
        <w:rPr>
          <w:rFonts w:ascii="Calibri" w:hAnsi="Calibri"/>
          <w:color w:val="7F7F7F" w:themeColor="text1" w:themeTint="80"/>
          <w:sz w:val="26"/>
          <w:szCs w:val="26"/>
        </w:rPr>
        <w:t xml:space="preserve">en copia al carbón </w:t>
      </w:r>
      <w:r w:rsidR="005F679C">
        <w:rPr>
          <w:rFonts w:ascii="Calibri" w:hAnsi="Calibri"/>
          <w:color w:val="7F7F7F" w:themeColor="text1" w:themeTint="80"/>
          <w:sz w:val="26"/>
          <w:szCs w:val="26"/>
        </w:rPr>
        <w:t xml:space="preserve">(del mandamiento); </w:t>
      </w:r>
      <w:r w:rsidR="00223859" w:rsidRPr="002C4A64">
        <w:rPr>
          <w:rFonts w:ascii="Calibri" w:hAnsi="Calibri"/>
          <w:color w:val="7F7F7F" w:themeColor="text1" w:themeTint="80"/>
          <w:sz w:val="26"/>
          <w:szCs w:val="26"/>
        </w:rPr>
        <w:t>impresi</w:t>
      </w:r>
      <w:r w:rsidR="005F679C">
        <w:rPr>
          <w:rFonts w:ascii="Calibri" w:hAnsi="Calibri"/>
          <w:color w:val="7F7F7F" w:themeColor="text1" w:themeTint="80"/>
          <w:sz w:val="26"/>
          <w:szCs w:val="26"/>
        </w:rPr>
        <w:t>ón del estado de cuenta; y, copia simple del estado de cuenta 2011 dos mil once-</w:t>
      </w:r>
      <w:r w:rsidR="00223859" w:rsidRPr="002C4A64">
        <w:rPr>
          <w:rFonts w:ascii="Calibri" w:hAnsi="Calibri"/>
          <w:color w:val="7F7F7F" w:themeColor="text1" w:themeTint="80"/>
          <w:sz w:val="26"/>
          <w:szCs w:val="26"/>
        </w:rPr>
        <w:t xml:space="preserve">, </w:t>
      </w:r>
      <w:r w:rsidRPr="002C4A64">
        <w:rPr>
          <w:rFonts w:ascii="Calibri" w:hAnsi="Calibri"/>
          <w:color w:val="7F7F7F" w:themeColor="text1" w:themeTint="80"/>
          <w:sz w:val="26"/>
          <w:szCs w:val="26"/>
        </w:rPr>
        <w:t>le fueron admitidas como pruebas de su intención (visibles a fojas 14 catorce</w:t>
      </w:r>
      <w:r w:rsidR="0002053A" w:rsidRPr="002C4A64">
        <w:rPr>
          <w:rFonts w:ascii="Calibri" w:hAnsi="Calibri"/>
          <w:color w:val="7F7F7F" w:themeColor="text1" w:themeTint="80"/>
          <w:sz w:val="26"/>
          <w:szCs w:val="26"/>
        </w:rPr>
        <w:t>,</w:t>
      </w:r>
      <w:r w:rsidRPr="002C4A64">
        <w:rPr>
          <w:rFonts w:ascii="Calibri" w:hAnsi="Calibri"/>
          <w:color w:val="7F7F7F" w:themeColor="text1" w:themeTint="80"/>
          <w:sz w:val="26"/>
          <w:szCs w:val="26"/>
        </w:rPr>
        <w:t xml:space="preserve"> 15 quince</w:t>
      </w:r>
      <w:r w:rsidR="0002053A" w:rsidRPr="002C4A64">
        <w:rPr>
          <w:rFonts w:ascii="Calibri" w:hAnsi="Calibri"/>
          <w:color w:val="7F7F7F" w:themeColor="text1" w:themeTint="80"/>
          <w:sz w:val="26"/>
          <w:szCs w:val="26"/>
        </w:rPr>
        <w:t>, 17 diecisiete y 18 dieciocho</w:t>
      </w:r>
      <w:r w:rsidRPr="002C4A64">
        <w:rPr>
          <w:rFonts w:ascii="Calibri" w:hAnsi="Calibri"/>
          <w:color w:val="7F7F7F" w:themeColor="text1" w:themeTint="80"/>
          <w:sz w:val="26"/>
          <w:szCs w:val="26"/>
        </w:rPr>
        <w:t xml:space="preserve">); </w:t>
      </w:r>
      <w:r w:rsidR="00223859" w:rsidRPr="002C4A64">
        <w:rPr>
          <w:rFonts w:ascii="Calibri" w:hAnsi="Calibri"/>
          <w:color w:val="7F7F7F" w:themeColor="text1" w:themeTint="80"/>
          <w:sz w:val="26"/>
          <w:szCs w:val="26"/>
        </w:rPr>
        <w:t xml:space="preserve">mandamiento con acta de embargo, y </w:t>
      </w:r>
      <w:r w:rsidRPr="002C4A64">
        <w:rPr>
          <w:rFonts w:ascii="Calibri" w:hAnsi="Calibri"/>
          <w:color w:val="7F7F7F" w:themeColor="text1" w:themeTint="80"/>
          <w:sz w:val="26"/>
          <w:szCs w:val="26"/>
        </w:rPr>
        <w:t>estado</w:t>
      </w:r>
      <w:r w:rsidR="00223859" w:rsidRPr="002C4A64">
        <w:rPr>
          <w:rFonts w:ascii="Calibri" w:hAnsi="Calibri"/>
          <w:color w:val="7F7F7F" w:themeColor="text1" w:themeTint="80"/>
          <w:sz w:val="26"/>
          <w:szCs w:val="26"/>
        </w:rPr>
        <w:t>s</w:t>
      </w:r>
      <w:r w:rsidRPr="002C4A64">
        <w:rPr>
          <w:rFonts w:ascii="Calibri" w:hAnsi="Calibri"/>
          <w:color w:val="7F7F7F" w:themeColor="text1" w:themeTint="80"/>
          <w:sz w:val="26"/>
          <w:szCs w:val="26"/>
        </w:rPr>
        <w:t xml:space="preserve"> de cuenta</w:t>
      </w:r>
      <w:r w:rsidR="00223859" w:rsidRPr="002C4A64">
        <w:rPr>
          <w:rFonts w:ascii="Calibri" w:hAnsi="Calibri"/>
          <w:color w:val="7F7F7F" w:themeColor="text1" w:themeTint="80"/>
          <w:sz w:val="26"/>
          <w:szCs w:val="26"/>
        </w:rPr>
        <w:t>,</w:t>
      </w:r>
      <w:r w:rsidRPr="002C4A64">
        <w:rPr>
          <w:rFonts w:ascii="Calibri" w:hAnsi="Calibri"/>
          <w:color w:val="7F7F7F" w:themeColor="text1" w:themeTint="80"/>
          <w:sz w:val="26"/>
          <w:szCs w:val="26"/>
        </w:rPr>
        <w:t xml:space="preserve"> a los que se les otorga pleno valor probatorio, de conformidad con lo dispuesto en los artículos 78, 121</w:t>
      </w:r>
      <w:r w:rsidR="00223859" w:rsidRPr="002C4A64">
        <w:rPr>
          <w:rFonts w:ascii="Calibri" w:hAnsi="Calibri"/>
          <w:color w:val="7F7F7F" w:themeColor="text1" w:themeTint="80"/>
          <w:sz w:val="26"/>
          <w:szCs w:val="26"/>
        </w:rPr>
        <w:t>,</w:t>
      </w:r>
      <w:r w:rsidRPr="002C4A64">
        <w:rPr>
          <w:rFonts w:ascii="Calibri" w:hAnsi="Calibri"/>
          <w:color w:val="7F7F7F" w:themeColor="text1" w:themeTint="80"/>
          <w:sz w:val="26"/>
          <w:szCs w:val="26"/>
        </w:rPr>
        <w:t xml:space="preserve"> 124</w:t>
      </w:r>
      <w:r w:rsidR="00223859" w:rsidRPr="002C4A64">
        <w:rPr>
          <w:rFonts w:ascii="Calibri" w:hAnsi="Calibri"/>
          <w:color w:val="7F7F7F" w:themeColor="text1" w:themeTint="80"/>
          <w:sz w:val="26"/>
          <w:szCs w:val="26"/>
        </w:rPr>
        <w:t xml:space="preserve"> y 131</w:t>
      </w:r>
      <w:r w:rsidRPr="002C4A64">
        <w:rPr>
          <w:rFonts w:ascii="Calibri" w:hAnsi="Calibri"/>
          <w:color w:val="7F7F7F" w:themeColor="text1" w:themeTint="80"/>
          <w:sz w:val="26"/>
          <w:szCs w:val="26"/>
        </w:rPr>
        <w:t xml:space="preserve"> del Código de Procedimiento y Justicia Administrativa para el Estado y los Municipios de Guanajuato, toda vez que se trata de documentos emitidos por servidores públicos en el ejercicio de sus atribuciones; pues </w:t>
      </w:r>
      <w:r w:rsidRPr="002C4A64">
        <w:rPr>
          <w:rFonts w:ascii="Calibri" w:hAnsi="Calibri" w:cs="Calibri"/>
          <w:color w:val="7F7F7F" w:themeColor="text1" w:themeTint="80"/>
          <w:sz w:val="26"/>
          <w:szCs w:val="26"/>
        </w:rPr>
        <w:t xml:space="preserve">no obstante que </w:t>
      </w:r>
      <w:r w:rsidRPr="002C4A64">
        <w:rPr>
          <w:rFonts w:ascii="Calibri" w:hAnsi="Calibri"/>
          <w:color w:val="7F7F7F" w:themeColor="text1" w:themeTint="80"/>
          <w:sz w:val="26"/>
          <w:szCs w:val="26"/>
        </w:rPr>
        <w:t>l</w:t>
      </w:r>
      <w:r w:rsidR="00223859" w:rsidRPr="002C4A64">
        <w:rPr>
          <w:rFonts w:ascii="Calibri" w:hAnsi="Calibri"/>
          <w:color w:val="7F7F7F" w:themeColor="text1" w:themeTint="80"/>
          <w:sz w:val="26"/>
          <w:szCs w:val="26"/>
        </w:rPr>
        <w:t>os</w:t>
      </w:r>
      <w:r w:rsidRPr="002C4A64">
        <w:rPr>
          <w:rFonts w:ascii="Calibri" w:hAnsi="Calibri"/>
          <w:color w:val="7F7F7F" w:themeColor="text1" w:themeTint="80"/>
          <w:sz w:val="26"/>
          <w:szCs w:val="26"/>
        </w:rPr>
        <w:t xml:space="preserve"> estado</w:t>
      </w:r>
      <w:r w:rsidR="00223859" w:rsidRPr="002C4A64">
        <w:rPr>
          <w:rFonts w:ascii="Calibri" w:hAnsi="Calibri"/>
          <w:color w:val="7F7F7F" w:themeColor="text1" w:themeTint="80"/>
          <w:sz w:val="26"/>
          <w:szCs w:val="26"/>
        </w:rPr>
        <w:t>s</w:t>
      </w:r>
      <w:r w:rsidRPr="002C4A64">
        <w:rPr>
          <w:rFonts w:ascii="Calibri" w:hAnsi="Calibri"/>
          <w:color w:val="7F7F7F" w:themeColor="text1" w:themeTint="80"/>
          <w:sz w:val="26"/>
          <w:szCs w:val="26"/>
        </w:rPr>
        <w:t xml:space="preserve"> de cuenta </w:t>
      </w:r>
      <w:r w:rsidRPr="002C4A64">
        <w:rPr>
          <w:rFonts w:ascii="Calibri" w:hAnsi="Calibri" w:cs="Calibri"/>
          <w:color w:val="7F7F7F" w:themeColor="text1" w:themeTint="80"/>
          <w:sz w:val="26"/>
          <w:szCs w:val="26"/>
        </w:rPr>
        <w:t>s</w:t>
      </w:r>
      <w:r w:rsidR="00223859" w:rsidRPr="002C4A64">
        <w:rPr>
          <w:rFonts w:ascii="Calibri" w:hAnsi="Calibri" w:cs="Calibri"/>
          <w:color w:val="7F7F7F" w:themeColor="text1" w:themeTint="80"/>
          <w:sz w:val="26"/>
          <w:szCs w:val="26"/>
        </w:rPr>
        <w:t>on</w:t>
      </w:r>
      <w:r w:rsidRPr="002C4A64">
        <w:rPr>
          <w:rFonts w:ascii="Calibri" w:hAnsi="Calibri" w:cs="Calibri"/>
          <w:color w:val="7F7F7F" w:themeColor="text1" w:themeTint="80"/>
          <w:sz w:val="26"/>
          <w:szCs w:val="26"/>
        </w:rPr>
        <w:t xml:space="preserve"> documento</w:t>
      </w:r>
      <w:r w:rsidR="00223859" w:rsidRPr="002C4A64">
        <w:rPr>
          <w:rFonts w:ascii="Calibri" w:hAnsi="Calibri" w:cs="Calibri"/>
          <w:color w:val="7F7F7F" w:themeColor="text1" w:themeTint="80"/>
          <w:sz w:val="26"/>
          <w:szCs w:val="26"/>
        </w:rPr>
        <w:t>s</w:t>
      </w:r>
      <w:r w:rsidRPr="002C4A64">
        <w:rPr>
          <w:rFonts w:ascii="Calibri" w:hAnsi="Calibri" w:cs="Calibri"/>
          <w:color w:val="7F7F7F" w:themeColor="text1" w:themeTint="80"/>
          <w:sz w:val="26"/>
          <w:szCs w:val="26"/>
        </w:rPr>
        <w:t xml:space="preserve"> privado</w:t>
      </w:r>
      <w:r w:rsidR="00223859" w:rsidRPr="002C4A64">
        <w:rPr>
          <w:rFonts w:ascii="Calibri" w:hAnsi="Calibri" w:cs="Calibri"/>
          <w:color w:val="7F7F7F" w:themeColor="text1" w:themeTint="80"/>
          <w:sz w:val="26"/>
          <w:szCs w:val="26"/>
        </w:rPr>
        <w:t>s</w:t>
      </w:r>
      <w:r w:rsidRPr="002C4A64">
        <w:rPr>
          <w:rFonts w:ascii="Calibri" w:hAnsi="Calibri" w:cs="Calibri"/>
          <w:color w:val="7F7F7F" w:themeColor="text1" w:themeTint="80"/>
          <w:sz w:val="26"/>
          <w:szCs w:val="26"/>
        </w:rPr>
        <w:t>, de su lectura se desprende, por su contenido, que</w:t>
      </w:r>
      <w:r w:rsidRPr="00DD2349">
        <w:rPr>
          <w:rFonts w:ascii="Calibri" w:hAnsi="Calibri" w:cs="Calibri"/>
          <w:color w:val="7F7F7F" w:themeColor="text1" w:themeTint="80"/>
          <w:sz w:val="26"/>
          <w:szCs w:val="26"/>
        </w:rPr>
        <w:t xml:space="preserve"> está</w:t>
      </w:r>
      <w:r w:rsidR="005F679C" w:rsidRPr="00DD2349">
        <w:rPr>
          <w:rFonts w:ascii="Calibri" w:hAnsi="Calibri" w:cs="Calibri"/>
          <w:color w:val="7F7F7F" w:themeColor="text1" w:themeTint="80"/>
          <w:sz w:val="26"/>
          <w:szCs w:val="26"/>
        </w:rPr>
        <w:t>n</w:t>
      </w:r>
      <w:r w:rsidRPr="00DD2349">
        <w:rPr>
          <w:rFonts w:ascii="Calibri" w:hAnsi="Calibri" w:cs="Calibri"/>
          <w:color w:val="7F7F7F" w:themeColor="text1" w:themeTint="80"/>
          <w:sz w:val="26"/>
          <w:szCs w:val="26"/>
        </w:rPr>
        <w:t xml:space="preserve"> adminiculado</w:t>
      </w:r>
      <w:r w:rsidR="005F679C" w:rsidRPr="00DD2349">
        <w:rPr>
          <w:rFonts w:ascii="Calibri" w:hAnsi="Calibri" w:cs="Calibri"/>
          <w:color w:val="7F7F7F" w:themeColor="text1" w:themeTint="80"/>
          <w:sz w:val="26"/>
          <w:szCs w:val="26"/>
        </w:rPr>
        <w:t>s</w:t>
      </w:r>
      <w:r w:rsidRPr="00DD2349">
        <w:rPr>
          <w:rFonts w:ascii="Calibri" w:hAnsi="Calibri" w:cs="Calibri"/>
          <w:color w:val="7F7F7F" w:themeColor="text1" w:themeTint="80"/>
          <w:sz w:val="26"/>
          <w:szCs w:val="26"/>
        </w:rPr>
        <w:t xml:space="preserve"> con </w:t>
      </w:r>
      <w:r w:rsidRPr="002C4A64">
        <w:rPr>
          <w:rFonts w:ascii="Calibri" w:hAnsi="Calibri" w:cs="Calibri"/>
          <w:color w:val="7F7F7F" w:themeColor="text1" w:themeTint="80"/>
          <w:sz w:val="26"/>
          <w:szCs w:val="26"/>
        </w:rPr>
        <w:t>lo</w:t>
      </w:r>
      <w:r w:rsidR="00223859" w:rsidRPr="002C4A64">
        <w:rPr>
          <w:rFonts w:ascii="Calibri" w:hAnsi="Calibri" w:cs="Calibri"/>
          <w:color w:val="7F7F7F" w:themeColor="text1" w:themeTint="80"/>
          <w:sz w:val="26"/>
          <w:szCs w:val="26"/>
        </w:rPr>
        <w:t xml:space="preserve"> señalado en el mandamiento de embargo respectivo</w:t>
      </w:r>
      <w:r w:rsidRPr="002C4A64">
        <w:rPr>
          <w:rFonts w:ascii="Calibri" w:hAnsi="Calibri" w:cs="Calibri"/>
          <w:color w:val="7F7F7F" w:themeColor="text1" w:themeTint="80"/>
          <w:sz w:val="26"/>
          <w:szCs w:val="26"/>
        </w:rPr>
        <w:t>; por hacer referencia concreta al contribuyente, el domicilio del inmueble, los números de cuenta predial y catastral, el monto del impuesto, así como el valor del inmueble; por lo que no puede restársele valor probatorio alguno</w:t>
      </w:r>
      <w:r w:rsidRPr="002C4A64">
        <w:rPr>
          <w:rFonts w:ascii="Calibri" w:hAnsi="Calibri"/>
          <w:color w:val="7F7F7F" w:themeColor="text1" w:themeTint="80"/>
          <w:sz w:val="26"/>
          <w:szCs w:val="26"/>
        </w:rPr>
        <w:t xml:space="preserve">. . . . . . . . . . . . . . . . . . . . . . . . . . . . . . . . . . </w:t>
      </w:r>
      <w:r w:rsidR="00DD2349">
        <w:rPr>
          <w:rFonts w:ascii="Calibri" w:hAnsi="Calibri"/>
          <w:color w:val="7F7F7F" w:themeColor="text1" w:themeTint="80"/>
          <w:sz w:val="26"/>
          <w:szCs w:val="26"/>
        </w:rPr>
        <w:t xml:space="preserve">. . . . . . . . . . . . . . . . . . . . . . . . . . . . . </w:t>
      </w:r>
    </w:p>
    <w:p w:rsidR="00223859" w:rsidRPr="002C4A64" w:rsidRDefault="00223859" w:rsidP="00591CB1">
      <w:pPr>
        <w:jc w:val="both"/>
        <w:rPr>
          <w:rFonts w:ascii="Calibri" w:hAnsi="Calibri"/>
          <w:color w:val="7F7F7F" w:themeColor="text1" w:themeTint="80"/>
          <w:sz w:val="26"/>
          <w:szCs w:val="26"/>
        </w:rPr>
      </w:pPr>
    </w:p>
    <w:p w:rsidR="00591CB1" w:rsidRPr="002C4A64" w:rsidRDefault="0059005B" w:rsidP="00591CB1">
      <w:pPr>
        <w:ind w:firstLine="708"/>
        <w:jc w:val="both"/>
        <w:rPr>
          <w:rFonts w:ascii="Calibri" w:hAnsi="Calibri"/>
          <w:color w:val="7F7F7F" w:themeColor="text1" w:themeTint="80"/>
          <w:sz w:val="26"/>
          <w:szCs w:val="26"/>
        </w:rPr>
      </w:pPr>
      <w:r w:rsidRPr="00DD2349">
        <w:rPr>
          <w:rFonts w:ascii="Calibri" w:hAnsi="Calibri"/>
          <w:color w:val="7F7F7F" w:themeColor="text1" w:themeTint="80"/>
          <w:sz w:val="26"/>
          <w:szCs w:val="26"/>
        </w:rPr>
        <w:lastRenderedPageBreak/>
        <w:t xml:space="preserve">Medios de prueba de los </w:t>
      </w:r>
      <w:r w:rsidR="00591CB1" w:rsidRPr="002C4A64">
        <w:rPr>
          <w:rFonts w:ascii="Calibri" w:hAnsi="Calibri"/>
          <w:color w:val="7F7F7F" w:themeColor="text1" w:themeTint="80"/>
          <w:sz w:val="26"/>
          <w:szCs w:val="26"/>
        </w:rPr>
        <w:t>que se desprende la existencia de un avalúo al inmueble propiedad del actor, que incrementó su val</w:t>
      </w:r>
      <w:r w:rsidR="00DD2349">
        <w:rPr>
          <w:rFonts w:ascii="Calibri" w:hAnsi="Calibri"/>
          <w:color w:val="7F7F7F" w:themeColor="text1" w:themeTint="80"/>
          <w:sz w:val="26"/>
          <w:szCs w:val="26"/>
        </w:rPr>
        <w:t>or fiscal, tal y como lo planteó</w:t>
      </w:r>
      <w:r w:rsidR="00591CB1" w:rsidRPr="002C4A64">
        <w:rPr>
          <w:rFonts w:ascii="Calibri" w:hAnsi="Calibri"/>
          <w:color w:val="7F7F7F" w:themeColor="text1" w:themeTint="80"/>
          <w:sz w:val="26"/>
          <w:szCs w:val="26"/>
        </w:rPr>
        <w:t xml:space="preserve"> en su escrito de demanda</w:t>
      </w:r>
      <w:r w:rsidR="00223859" w:rsidRPr="002C4A64">
        <w:rPr>
          <w:rFonts w:ascii="Calibri" w:hAnsi="Calibri"/>
          <w:color w:val="7F7F7F" w:themeColor="text1" w:themeTint="80"/>
          <w:sz w:val="26"/>
          <w:szCs w:val="26"/>
        </w:rPr>
        <w:t>; lo que se corrobora además con los documentos aportados por las demandadas</w:t>
      </w:r>
      <w:r w:rsidR="000E6AA0" w:rsidRPr="002C4A64">
        <w:rPr>
          <w:rFonts w:ascii="Calibri" w:hAnsi="Calibri"/>
          <w:color w:val="7F7F7F" w:themeColor="text1" w:themeTint="80"/>
          <w:sz w:val="26"/>
          <w:szCs w:val="26"/>
        </w:rPr>
        <w:t>,</w:t>
      </w:r>
      <w:r w:rsidR="00223859" w:rsidRPr="002C4A64">
        <w:rPr>
          <w:rFonts w:ascii="Calibri" w:hAnsi="Calibri"/>
          <w:color w:val="7F7F7F" w:themeColor="text1" w:themeTint="80"/>
          <w:sz w:val="26"/>
          <w:szCs w:val="26"/>
        </w:rPr>
        <w:t xml:space="preserve"> anexos a sus escritos de contestación, específicamente </w:t>
      </w:r>
      <w:r w:rsidR="000E6AA0" w:rsidRPr="002C4A64">
        <w:rPr>
          <w:rFonts w:ascii="Calibri" w:hAnsi="Calibri"/>
          <w:color w:val="7F7F7F" w:themeColor="text1" w:themeTint="80"/>
          <w:sz w:val="26"/>
          <w:szCs w:val="26"/>
        </w:rPr>
        <w:t xml:space="preserve">consistentes en </w:t>
      </w:r>
      <w:r w:rsidR="00223859" w:rsidRPr="002C4A64">
        <w:rPr>
          <w:rFonts w:ascii="Calibri" w:hAnsi="Calibri"/>
          <w:color w:val="7F7F7F" w:themeColor="text1" w:themeTint="80"/>
          <w:sz w:val="26"/>
          <w:szCs w:val="26"/>
        </w:rPr>
        <w:t>la orden de val</w:t>
      </w:r>
      <w:r w:rsidR="00E4014E">
        <w:rPr>
          <w:rFonts w:ascii="Calibri" w:hAnsi="Calibri"/>
          <w:color w:val="7F7F7F" w:themeColor="text1" w:themeTint="80"/>
          <w:sz w:val="26"/>
          <w:szCs w:val="26"/>
        </w:rPr>
        <w:t>uación</w:t>
      </w:r>
      <w:r w:rsidR="00223859" w:rsidRPr="002C4A64">
        <w:rPr>
          <w:rFonts w:ascii="Calibri" w:hAnsi="Calibri"/>
          <w:color w:val="7F7F7F" w:themeColor="text1" w:themeTint="80"/>
          <w:sz w:val="26"/>
          <w:szCs w:val="26"/>
        </w:rPr>
        <w:t xml:space="preserve"> de fecha 1 uno de noviembre del año 2012 dos mil doce, </w:t>
      </w:r>
      <w:r w:rsidR="000E6AA0" w:rsidRPr="002C4A64">
        <w:rPr>
          <w:rFonts w:ascii="Calibri" w:hAnsi="Calibri"/>
          <w:color w:val="7F7F7F" w:themeColor="text1" w:themeTint="80"/>
          <w:sz w:val="26"/>
          <w:szCs w:val="26"/>
        </w:rPr>
        <w:t xml:space="preserve">el propio </w:t>
      </w:r>
      <w:r w:rsidR="00E4014E">
        <w:rPr>
          <w:rFonts w:ascii="Calibri" w:hAnsi="Calibri"/>
          <w:color w:val="7F7F7F" w:themeColor="text1" w:themeTint="80"/>
          <w:sz w:val="26"/>
          <w:szCs w:val="26"/>
        </w:rPr>
        <w:t>a</w:t>
      </w:r>
      <w:r w:rsidR="000E6AA0" w:rsidRPr="002C4A64">
        <w:rPr>
          <w:rFonts w:ascii="Calibri" w:hAnsi="Calibri"/>
          <w:color w:val="7F7F7F" w:themeColor="text1" w:themeTint="80"/>
          <w:sz w:val="26"/>
          <w:szCs w:val="26"/>
        </w:rPr>
        <w:t>val</w:t>
      </w:r>
      <w:r w:rsidR="00E4014E">
        <w:rPr>
          <w:rFonts w:ascii="Calibri" w:hAnsi="Calibri"/>
          <w:color w:val="7F7F7F" w:themeColor="text1" w:themeTint="80"/>
          <w:sz w:val="26"/>
          <w:szCs w:val="26"/>
        </w:rPr>
        <w:t>úo</w:t>
      </w:r>
      <w:r w:rsidR="000E6AA0" w:rsidRPr="002C4A64">
        <w:rPr>
          <w:rFonts w:ascii="Calibri" w:hAnsi="Calibri"/>
          <w:color w:val="7F7F7F" w:themeColor="text1" w:themeTint="80"/>
          <w:sz w:val="26"/>
          <w:szCs w:val="26"/>
        </w:rPr>
        <w:t xml:space="preserve"> de fecha 19 diecinueve de diciembre de ese mismo año;</w:t>
      </w:r>
      <w:r w:rsidR="00223859" w:rsidRPr="002C4A64">
        <w:rPr>
          <w:rFonts w:ascii="Calibri" w:hAnsi="Calibri"/>
          <w:color w:val="7F7F7F" w:themeColor="text1" w:themeTint="80"/>
          <w:sz w:val="26"/>
          <w:szCs w:val="26"/>
        </w:rPr>
        <w:t xml:space="preserve"> </w:t>
      </w:r>
      <w:r w:rsidR="000E6AA0" w:rsidRPr="002C4A64">
        <w:rPr>
          <w:rFonts w:ascii="Calibri" w:hAnsi="Calibri"/>
          <w:color w:val="7F7F7F" w:themeColor="text1" w:themeTint="80"/>
          <w:sz w:val="26"/>
          <w:szCs w:val="26"/>
        </w:rPr>
        <w:t>y la notificación del resultado del avalúo, emitida el día 3 tres de enero del año 2013 dos mil trece</w:t>
      </w:r>
      <w:r>
        <w:rPr>
          <w:rFonts w:ascii="Calibri" w:hAnsi="Calibri"/>
          <w:color w:val="7F7F7F" w:themeColor="text1" w:themeTint="80"/>
          <w:sz w:val="26"/>
          <w:szCs w:val="26"/>
        </w:rPr>
        <w:t xml:space="preserve"> (d</w:t>
      </w:r>
      <w:r w:rsidR="00EC75F2" w:rsidRPr="002C4A64">
        <w:rPr>
          <w:rFonts w:ascii="Calibri" w:hAnsi="Calibri"/>
          <w:color w:val="7F7F7F" w:themeColor="text1" w:themeTint="80"/>
          <w:sz w:val="26"/>
          <w:szCs w:val="26"/>
        </w:rPr>
        <w:t xml:space="preserve">ocumentos visibles </w:t>
      </w:r>
      <w:r w:rsidR="00041501" w:rsidRPr="002C4A64">
        <w:rPr>
          <w:rFonts w:ascii="Calibri" w:hAnsi="Calibri"/>
          <w:color w:val="7F7F7F" w:themeColor="text1" w:themeTint="80"/>
          <w:sz w:val="26"/>
          <w:szCs w:val="26"/>
        </w:rPr>
        <w:t xml:space="preserve">en copias fotostáticas, </w:t>
      </w:r>
      <w:r w:rsidR="00EC75F2" w:rsidRPr="002C4A64">
        <w:rPr>
          <w:rFonts w:ascii="Calibri" w:hAnsi="Calibri"/>
          <w:color w:val="7F7F7F" w:themeColor="text1" w:themeTint="80"/>
          <w:sz w:val="26"/>
          <w:szCs w:val="26"/>
        </w:rPr>
        <w:t>a fojas 44 cuarenta y cuatro a 46 cuarenta y seis</w:t>
      </w:r>
      <w:r w:rsidR="009A2B7E">
        <w:rPr>
          <w:rFonts w:ascii="Calibri" w:hAnsi="Calibri"/>
          <w:color w:val="7F7F7F" w:themeColor="text1" w:themeTint="80"/>
          <w:sz w:val="26"/>
          <w:szCs w:val="26"/>
        </w:rPr>
        <w:t>),</w:t>
      </w:r>
      <w:r w:rsidR="00041501" w:rsidRPr="002C4A64">
        <w:rPr>
          <w:rFonts w:ascii="Calibri" w:hAnsi="Calibri"/>
          <w:color w:val="7F7F7F" w:themeColor="text1" w:themeTint="80"/>
          <w:sz w:val="26"/>
          <w:szCs w:val="26"/>
        </w:rPr>
        <w:t xml:space="preserve"> cuya emisión reconocieron en sus escritos por los que dieron contestación a la demanda</w:t>
      </w:r>
      <w:r w:rsidR="000B1790" w:rsidRPr="002C4A64">
        <w:rPr>
          <w:rFonts w:ascii="Calibri" w:hAnsi="Calibri"/>
          <w:color w:val="7F7F7F" w:themeColor="text1" w:themeTint="80"/>
          <w:sz w:val="26"/>
          <w:szCs w:val="26"/>
        </w:rPr>
        <w:t>; y a los que se les otorga pleno valor probatorio de conformidad con lo señalado en los artículos 117, 118 y 131 del Código de Procedimiento y Justicia Administrativa para el Estado y los Municipios de Guanajuato</w:t>
      </w:r>
      <w:r w:rsidR="00591CB1" w:rsidRPr="002C4A64">
        <w:rPr>
          <w:rFonts w:ascii="Calibri" w:hAnsi="Calibri"/>
          <w:color w:val="7F7F7F" w:themeColor="text1" w:themeTint="80"/>
          <w:sz w:val="26"/>
          <w:szCs w:val="26"/>
        </w:rPr>
        <w:t xml:space="preserve">. . . . . . . . </w:t>
      </w:r>
      <w:r w:rsidR="000B1790" w:rsidRPr="002C4A64">
        <w:rPr>
          <w:rFonts w:ascii="Calibri" w:hAnsi="Calibri"/>
          <w:color w:val="7F7F7F" w:themeColor="text1" w:themeTint="80"/>
          <w:sz w:val="26"/>
          <w:szCs w:val="26"/>
        </w:rPr>
        <w:t xml:space="preserve">. . . . . . . </w:t>
      </w:r>
      <w:r w:rsidR="00E4014E">
        <w:rPr>
          <w:rFonts w:ascii="Calibri" w:hAnsi="Calibri"/>
          <w:color w:val="7F7F7F" w:themeColor="text1" w:themeTint="80"/>
          <w:sz w:val="26"/>
          <w:szCs w:val="26"/>
        </w:rPr>
        <w:t xml:space="preserve">. . </w:t>
      </w:r>
    </w:p>
    <w:p w:rsidR="00591CB1" w:rsidRPr="002C4A64" w:rsidRDefault="00591CB1" w:rsidP="00591CB1">
      <w:pPr>
        <w:jc w:val="both"/>
        <w:rPr>
          <w:rFonts w:ascii="Calibri" w:hAnsi="Calibri" w:cs="Arial"/>
          <w:b/>
          <w:bCs/>
          <w:i/>
          <w:iCs/>
          <w:color w:val="7F7F7F" w:themeColor="text1" w:themeTint="80"/>
          <w:sz w:val="26"/>
          <w:szCs w:val="26"/>
        </w:rPr>
      </w:pPr>
    </w:p>
    <w:p w:rsidR="00591CB1" w:rsidRPr="002C4A64" w:rsidRDefault="00591CB1" w:rsidP="00591CB1">
      <w:pPr>
        <w:ind w:firstLine="708"/>
        <w:jc w:val="both"/>
        <w:rPr>
          <w:rFonts w:ascii="Calibri" w:hAnsi="Calibri"/>
          <w:b/>
          <w:bCs/>
          <w:i/>
          <w:iCs/>
          <w:color w:val="7F7F7F" w:themeColor="text1" w:themeTint="80"/>
          <w:sz w:val="26"/>
        </w:rPr>
      </w:pPr>
      <w:r w:rsidRPr="002C4A64">
        <w:rPr>
          <w:rFonts w:ascii="Calibri" w:hAnsi="Calibri"/>
          <w:b/>
          <w:bCs/>
          <w:i/>
          <w:iCs/>
          <w:color w:val="7F7F7F" w:themeColor="text1" w:themeTint="80"/>
          <w:sz w:val="26"/>
        </w:rPr>
        <w:t xml:space="preserve">CUARTO.- </w:t>
      </w:r>
      <w:r w:rsidRPr="002C4A64">
        <w:rPr>
          <w:rFonts w:ascii="Calibri" w:hAnsi="Calibri"/>
          <w:color w:val="7F7F7F" w:themeColor="text1" w:themeTint="80"/>
          <w:sz w:val="26"/>
          <w:szCs w:val="26"/>
        </w:rPr>
        <w:t xml:space="preserve">Por cuestión de </w:t>
      </w:r>
      <w:r w:rsidRPr="002C4A64">
        <w:rPr>
          <w:rFonts w:ascii="Calibri" w:hAnsi="Calibri"/>
          <w:bCs/>
          <w:color w:val="7F7F7F" w:themeColor="text1" w:themeTint="80"/>
          <w:sz w:val="26"/>
          <w:szCs w:val="26"/>
        </w:rPr>
        <w:t xml:space="preserve">orden público </w:t>
      </w:r>
      <w:r w:rsidRPr="002C4A64">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y sobreseimiento previstas en los artículos </w:t>
      </w:r>
      <w:r w:rsidRPr="002C4A64">
        <w:rPr>
          <w:rFonts w:ascii="Calibri" w:hAnsi="Calibri" w:cs="Arial"/>
          <w:color w:val="7F7F7F" w:themeColor="text1" w:themeTint="80"/>
          <w:sz w:val="26"/>
          <w:szCs w:val="26"/>
        </w:rPr>
        <w:t xml:space="preserve">261 y 262 del </w:t>
      </w:r>
      <w:r w:rsidRPr="002C4A64">
        <w:rPr>
          <w:rFonts w:ascii="Calibri" w:hAnsi="Calibri"/>
          <w:color w:val="7F7F7F" w:themeColor="text1" w:themeTint="80"/>
          <w:sz w:val="26"/>
          <w:szCs w:val="26"/>
        </w:rPr>
        <w:t xml:space="preserve">Código de Procedimiento y Justicia Administrativa para el Estado y los Municipios de Guanajuato. </w:t>
      </w:r>
      <w:r w:rsidRPr="002C4A64">
        <w:rPr>
          <w:rFonts w:ascii="Calibri" w:hAnsi="Calibri" w:cs="Arial"/>
          <w:color w:val="7F7F7F" w:themeColor="text1" w:themeTint="80"/>
          <w:sz w:val="26"/>
          <w:szCs w:val="26"/>
        </w:rPr>
        <w:t xml:space="preserve">. . . . . . . . . . . . . . . . . . . . . . . . . . . . . </w:t>
      </w:r>
    </w:p>
    <w:p w:rsidR="00591CB1" w:rsidRPr="002C4A64" w:rsidRDefault="00591CB1" w:rsidP="00591CB1">
      <w:pPr>
        <w:jc w:val="both"/>
        <w:rPr>
          <w:rFonts w:ascii="Calibri" w:hAnsi="Calibri" w:cs="Arial"/>
          <w:color w:val="7F7F7F" w:themeColor="text1" w:themeTint="80"/>
          <w:sz w:val="22"/>
          <w:szCs w:val="26"/>
        </w:rPr>
      </w:pPr>
    </w:p>
    <w:p w:rsidR="00A3463D" w:rsidRPr="002C4A64" w:rsidRDefault="00591CB1" w:rsidP="00591CB1">
      <w:pPr>
        <w:ind w:firstLine="708"/>
        <w:jc w:val="both"/>
        <w:rPr>
          <w:rFonts w:ascii="Calibri" w:hAnsi="Calibri"/>
          <w:color w:val="7F7F7F" w:themeColor="text1" w:themeTint="80"/>
          <w:sz w:val="26"/>
        </w:rPr>
      </w:pPr>
      <w:r w:rsidRPr="002C4A64">
        <w:rPr>
          <w:rFonts w:ascii="Calibri" w:hAnsi="Calibri"/>
          <w:color w:val="7F7F7F" w:themeColor="text1" w:themeTint="80"/>
          <w:sz w:val="26"/>
        </w:rPr>
        <w:t xml:space="preserve">En la presente causa administrativa, las autoridades demandadas, </w:t>
      </w:r>
      <w:r w:rsidR="009A2B7E" w:rsidRPr="002C4A64">
        <w:rPr>
          <w:rFonts w:ascii="Calibri" w:hAnsi="Calibri"/>
          <w:color w:val="7F7F7F" w:themeColor="text1" w:themeTint="80"/>
          <w:sz w:val="26"/>
        </w:rPr>
        <w:t>Tesorer</w:t>
      </w:r>
      <w:r w:rsidR="009A2B7E">
        <w:rPr>
          <w:rFonts w:ascii="Calibri" w:hAnsi="Calibri"/>
          <w:color w:val="7F7F7F" w:themeColor="text1" w:themeTint="80"/>
          <w:sz w:val="26"/>
        </w:rPr>
        <w:t>ía</w:t>
      </w:r>
      <w:r w:rsidRPr="002C4A64">
        <w:rPr>
          <w:rFonts w:ascii="Calibri" w:hAnsi="Calibri"/>
          <w:color w:val="7F7F7F" w:themeColor="text1" w:themeTint="80"/>
          <w:sz w:val="26"/>
        </w:rPr>
        <w:t xml:space="preserve"> Municipal y Dirección General de I</w:t>
      </w:r>
      <w:r w:rsidR="00A3463D" w:rsidRPr="002C4A64">
        <w:rPr>
          <w:rFonts w:ascii="Calibri" w:hAnsi="Calibri"/>
          <w:color w:val="7F7F7F" w:themeColor="text1" w:themeTint="80"/>
          <w:sz w:val="26"/>
        </w:rPr>
        <w:t>ngr</w:t>
      </w:r>
      <w:r w:rsidRPr="002C4A64">
        <w:rPr>
          <w:rFonts w:ascii="Calibri" w:hAnsi="Calibri"/>
          <w:color w:val="7F7F7F" w:themeColor="text1" w:themeTint="80"/>
          <w:sz w:val="26"/>
        </w:rPr>
        <w:t xml:space="preserve">esos, </w:t>
      </w:r>
      <w:r w:rsidR="009A2B7E" w:rsidRPr="00967DD9">
        <w:rPr>
          <w:rFonts w:ascii="Calibri" w:hAnsi="Calibri"/>
          <w:color w:val="7F7F7F" w:themeColor="text1" w:themeTint="80"/>
          <w:sz w:val="26"/>
        </w:rPr>
        <w:t>a través de sus titulares,</w:t>
      </w:r>
      <w:r w:rsidR="009A2B7E">
        <w:rPr>
          <w:rFonts w:ascii="Calibri" w:hAnsi="Calibri"/>
          <w:color w:val="FF0000"/>
          <w:sz w:val="26"/>
        </w:rPr>
        <w:t xml:space="preserve"> </w:t>
      </w:r>
      <w:r w:rsidRPr="002C4A64">
        <w:rPr>
          <w:rFonts w:ascii="Calibri" w:hAnsi="Calibri"/>
          <w:color w:val="7F7F7F" w:themeColor="text1" w:themeTint="80"/>
          <w:sz w:val="26"/>
        </w:rPr>
        <w:t xml:space="preserve">invocaron </w:t>
      </w:r>
      <w:r w:rsidR="00A3463D" w:rsidRPr="002C4A64">
        <w:rPr>
          <w:rFonts w:ascii="Calibri" w:hAnsi="Calibri"/>
          <w:color w:val="7F7F7F" w:themeColor="text1" w:themeTint="80"/>
          <w:sz w:val="26"/>
        </w:rPr>
        <w:t xml:space="preserve">una </w:t>
      </w:r>
      <w:r w:rsidRPr="002C4A64">
        <w:rPr>
          <w:rFonts w:ascii="Calibri" w:hAnsi="Calibri"/>
          <w:color w:val="7F7F7F" w:themeColor="text1" w:themeTint="80"/>
          <w:sz w:val="26"/>
        </w:rPr>
        <w:t>causal de improcedencia</w:t>
      </w:r>
      <w:r w:rsidR="00A3463D" w:rsidRPr="002C4A64">
        <w:rPr>
          <w:rFonts w:ascii="Calibri" w:hAnsi="Calibri"/>
          <w:color w:val="7F7F7F" w:themeColor="text1" w:themeTint="80"/>
          <w:sz w:val="26"/>
        </w:rPr>
        <w:t xml:space="preserve">; la prevista en la fracción IV del artículo 261 del código de procedimiento aplicable en la materia administrativa, al referir en el capítulo de excepciones y defensas, que </w:t>
      </w:r>
      <w:r w:rsidR="006C01AE" w:rsidRPr="002C4A64">
        <w:rPr>
          <w:rFonts w:ascii="Calibri" w:hAnsi="Calibri"/>
          <w:color w:val="7F7F7F" w:themeColor="text1" w:themeTint="80"/>
          <w:sz w:val="26"/>
        </w:rPr>
        <w:t>el actor consintió el valor fiscal determinado en el avalúo de fecha 19 diecinueve de diciembre del año 2012 dos mil doce. . . . . . . . . .</w:t>
      </w:r>
      <w:r w:rsidR="00967DD9">
        <w:rPr>
          <w:rFonts w:ascii="Calibri" w:hAnsi="Calibri"/>
          <w:color w:val="7F7F7F" w:themeColor="text1" w:themeTint="80"/>
          <w:sz w:val="26"/>
        </w:rPr>
        <w:t xml:space="preserve"> . . . . . . . . . . . . . . . . . . . . . . . . . . . . . . . . . . . . . . . . . . . . . . . . . . . . </w:t>
      </w:r>
    </w:p>
    <w:p w:rsidR="00A3463D" w:rsidRPr="002C4A64" w:rsidRDefault="00A3463D" w:rsidP="00591CB1">
      <w:pPr>
        <w:ind w:firstLine="708"/>
        <w:jc w:val="both"/>
        <w:rPr>
          <w:rFonts w:ascii="Calibri" w:hAnsi="Calibri"/>
          <w:color w:val="7F7F7F" w:themeColor="text1" w:themeTint="80"/>
          <w:sz w:val="26"/>
        </w:rPr>
      </w:pPr>
    </w:p>
    <w:p w:rsidR="00A22514" w:rsidRPr="002C4A64" w:rsidRDefault="00A22514" w:rsidP="00591CB1">
      <w:pPr>
        <w:ind w:firstLine="708"/>
        <w:jc w:val="both"/>
        <w:rPr>
          <w:rFonts w:ascii="Calibri" w:hAnsi="Calibri"/>
          <w:color w:val="7F7F7F" w:themeColor="text1" w:themeTint="80"/>
          <w:sz w:val="26"/>
        </w:rPr>
      </w:pPr>
      <w:r w:rsidRPr="002C4A64">
        <w:rPr>
          <w:rFonts w:ascii="Calibri" w:hAnsi="Calibri"/>
          <w:color w:val="7F7F7F" w:themeColor="text1" w:themeTint="80"/>
          <w:sz w:val="26"/>
        </w:rPr>
        <w:t xml:space="preserve">Causal que </w:t>
      </w:r>
      <w:r w:rsidRPr="0059005B">
        <w:rPr>
          <w:rFonts w:ascii="Calibri" w:hAnsi="Calibri"/>
          <w:b/>
          <w:color w:val="7F7F7F" w:themeColor="text1" w:themeTint="80"/>
          <w:sz w:val="26"/>
        </w:rPr>
        <w:t>no se actualiza</w:t>
      </w:r>
      <w:r w:rsidRPr="002C4A64">
        <w:rPr>
          <w:rFonts w:ascii="Calibri" w:hAnsi="Calibri"/>
          <w:color w:val="7F7F7F" w:themeColor="text1" w:themeTint="80"/>
          <w:sz w:val="26"/>
        </w:rPr>
        <w:t xml:space="preserve"> para quien resuelve; </w:t>
      </w:r>
      <w:r w:rsidR="005730CE" w:rsidRPr="002C4A64">
        <w:rPr>
          <w:rFonts w:ascii="Calibri" w:hAnsi="Calibri"/>
          <w:color w:val="7F7F7F" w:themeColor="text1" w:themeTint="80"/>
          <w:sz w:val="26"/>
        </w:rPr>
        <w:t>toda vez que no se desprende de las constancias aportadas</w:t>
      </w:r>
      <w:r w:rsidR="006C71B0" w:rsidRPr="002C4A64">
        <w:rPr>
          <w:rFonts w:ascii="Calibri" w:hAnsi="Calibri"/>
          <w:color w:val="7F7F7F" w:themeColor="text1" w:themeTint="80"/>
          <w:sz w:val="26"/>
        </w:rPr>
        <w:t>,</w:t>
      </w:r>
      <w:r w:rsidR="005730CE" w:rsidRPr="002C4A64">
        <w:rPr>
          <w:rFonts w:ascii="Calibri" w:hAnsi="Calibri"/>
          <w:color w:val="7F7F7F" w:themeColor="text1" w:themeTint="80"/>
          <w:sz w:val="26"/>
        </w:rPr>
        <w:t xml:space="preserve"> que la parte actora haya consentido el avalúo de fecha 19 diecinueve de diciembre del año 2012 dos mil doce, </w:t>
      </w:r>
      <w:r w:rsidR="00B533B1" w:rsidRPr="002C4A64">
        <w:rPr>
          <w:rFonts w:ascii="Calibri" w:hAnsi="Calibri"/>
          <w:color w:val="7F7F7F" w:themeColor="text1" w:themeTint="80"/>
          <w:sz w:val="26"/>
        </w:rPr>
        <w:t xml:space="preserve">ya que no se aportó constancia alguna de que efectivamente la parte actora haya tenido conocimiento de la emisión de la orden de valuación y del </w:t>
      </w:r>
      <w:r w:rsidR="00160C08" w:rsidRPr="002C4A64">
        <w:rPr>
          <w:rFonts w:ascii="Calibri" w:hAnsi="Calibri"/>
          <w:color w:val="7F7F7F" w:themeColor="text1" w:themeTint="80"/>
          <w:sz w:val="26"/>
        </w:rPr>
        <w:t>propio avalúo</w:t>
      </w:r>
      <w:r w:rsidR="00862E16" w:rsidRPr="002C4A64">
        <w:rPr>
          <w:rFonts w:ascii="Calibri" w:hAnsi="Calibri"/>
          <w:color w:val="7F7F7F" w:themeColor="text1" w:themeTint="80"/>
          <w:sz w:val="26"/>
        </w:rPr>
        <w:t xml:space="preserve"> en una fecha diversa de la que mencionó al interponer la demanda</w:t>
      </w:r>
      <w:r w:rsidR="00160C08" w:rsidRPr="002C4A64">
        <w:rPr>
          <w:rFonts w:ascii="Calibri" w:hAnsi="Calibri"/>
          <w:color w:val="7F7F7F" w:themeColor="text1" w:themeTint="80"/>
          <w:sz w:val="26"/>
        </w:rPr>
        <w:t xml:space="preserve">; y respecto de la notificación del resultado del avalúo, si bien es cierto que se anexó un citatorio que es visible a foja 43 del expediente; también lo es que </w:t>
      </w:r>
      <w:r w:rsidR="00862E16" w:rsidRPr="002C4A64">
        <w:rPr>
          <w:rFonts w:ascii="Calibri" w:hAnsi="Calibri"/>
          <w:color w:val="7F7F7F" w:themeColor="text1" w:themeTint="80"/>
          <w:sz w:val="26"/>
        </w:rPr>
        <w:t xml:space="preserve">no se exhibió acta circunstanciada de la visita efectuada el 7 siete de enero del 2013 dos mil trece; por lo que no se tiene la certeza de su legal realización. . . . . . . . . . . . . . . . . . . . . . . </w:t>
      </w:r>
    </w:p>
    <w:p w:rsidR="00A22514" w:rsidRPr="002C4A64" w:rsidRDefault="00A22514" w:rsidP="00862E16">
      <w:pPr>
        <w:jc w:val="both"/>
        <w:rPr>
          <w:rFonts w:ascii="Calibri" w:hAnsi="Calibri"/>
          <w:color w:val="7F7F7F" w:themeColor="text1" w:themeTint="80"/>
          <w:sz w:val="26"/>
        </w:rPr>
      </w:pPr>
    </w:p>
    <w:p w:rsidR="00591CB1" w:rsidRPr="00DE7F8A" w:rsidRDefault="00862E16" w:rsidP="00DE7F8A">
      <w:pPr>
        <w:ind w:firstLine="708"/>
        <w:jc w:val="both"/>
        <w:rPr>
          <w:rFonts w:ascii="Calibri" w:hAnsi="Calibri" w:cs="Arial"/>
          <w:color w:val="7F7F7F" w:themeColor="text1" w:themeTint="80"/>
          <w:sz w:val="26"/>
          <w:szCs w:val="26"/>
        </w:rPr>
      </w:pPr>
      <w:r w:rsidRPr="002C4A64">
        <w:rPr>
          <w:rFonts w:ascii="Calibri" w:hAnsi="Calibri"/>
          <w:color w:val="7F7F7F" w:themeColor="text1" w:themeTint="80"/>
          <w:sz w:val="26"/>
        </w:rPr>
        <w:t xml:space="preserve">Así las cosas, al no presentarse la causal </w:t>
      </w:r>
      <w:r w:rsidR="0033711B" w:rsidRPr="002C4A64">
        <w:rPr>
          <w:rFonts w:ascii="Calibri" w:hAnsi="Calibri"/>
          <w:color w:val="7F7F7F" w:themeColor="text1" w:themeTint="80"/>
          <w:sz w:val="26"/>
        </w:rPr>
        <w:t>señalada;</w:t>
      </w:r>
      <w:r w:rsidRPr="002C4A64">
        <w:rPr>
          <w:rFonts w:ascii="Calibri" w:hAnsi="Calibri"/>
          <w:color w:val="7F7F7F" w:themeColor="text1" w:themeTint="80"/>
          <w:sz w:val="26"/>
        </w:rPr>
        <w:t xml:space="preserve"> </w:t>
      </w:r>
      <w:r w:rsidR="0033711B" w:rsidRPr="002C4A64">
        <w:rPr>
          <w:rFonts w:ascii="Calibri" w:hAnsi="Calibri"/>
          <w:color w:val="7F7F7F" w:themeColor="text1" w:themeTint="80"/>
          <w:sz w:val="26"/>
        </w:rPr>
        <w:t xml:space="preserve">y </w:t>
      </w:r>
      <w:r w:rsidR="00591CB1" w:rsidRPr="002C4A64">
        <w:rPr>
          <w:rFonts w:ascii="Calibri" w:hAnsi="Calibri"/>
          <w:color w:val="7F7F7F" w:themeColor="text1" w:themeTint="80"/>
          <w:sz w:val="26"/>
          <w:szCs w:val="26"/>
        </w:rPr>
        <w:t xml:space="preserve">de oficio, este </w:t>
      </w:r>
      <w:r w:rsidR="00591CB1" w:rsidRPr="002C4A64">
        <w:rPr>
          <w:rFonts w:ascii="Calibri" w:hAnsi="Calibri" w:cs="Arial"/>
          <w:color w:val="7F7F7F" w:themeColor="text1" w:themeTint="80"/>
          <w:sz w:val="26"/>
          <w:szCs w:val="26"/>
        </w:rPr>
        <w:t xml:space="preserve">Juzgador no advierte que se actualice alguna </w:t>
      </w:r>
      <w:r w:rsidR="0033711B" w:rsidRPr="002C4A64">
        <w:rPr>
          <w:rFonts w:ascii="Calibri" w:hAnsi="Calibri" w:cs="Arial"/>
          <w:color w:val="7F7F7F" w:themeColor="text1" w:themeTint="80"/>
          <w:sz w:val="26"/>
          <w:szCs w:val="26"/>
        </w:rPr>
        <w:t xml:space="preserve">otra de improcedencia o sobreseimiento </w:t>
      </w:r>
      <w:r w:rsidR="00591CB1" w:rsidRPr="002C4A64">
        <w:rPr>
          <w:rFonts w:ascii="Calibri" w:hAnsi="Calibri" w:cs="Arial"/>
          <w:color w:val="7F7F7F" w:themeColor="text1" w:themeTint="80"/>
          <w:sz w:val="26"/>
          <w:szCs w:val="26"/>
        </w:rPr>
        <w:t xml:space="preserve">que </w:t>
      </w:r>
      <w:r w:rsidR="00591CB1" w:rsidRPr="002C4A64">
        <w:rPr>
          <w:rFonts w:ascii="Calibri" w:hAnsi="Calibri"/>
          <w:color w:val="7F7F7F" w:themeColor="text1" w:themeTint="80"/>
          <w:sz w:val="26"/>
          <w:szCs w:val="26"/>
        </w:rPr>
        <w:t xml:space="preserve">impida </w:t>
      </w:r>
      <w:r w:rsidR="00CF1967" w:rsidRPr="002C4A64">
        <w:rPr>
          <w:rFonts w:ascii="Calibri" w:hAnsi="Calibri"/>
          <w:color w:val="7F7F7F" w:themeColor="text1" w:themeTint="80"/>
          <w:sz w:val="26"/>
          <w:szCs w:val="26"/>
        </w:rPr>
        <w:t>el estudio del fondo del asunto;</w:t>
      </w:r>
      <w:r w:rsidR="00591CB1" w:rsidRPr="002C4A64">
        <w:rPr>
          <w:rFonts w:ascii="Calibri" w:hAnsi="Calibri"/>
          <w:color w:val="7F7F7F" w:themeColor="text1" w:themeTint="80"/>
          <w:sz w:val="26"/>
          <w:szCs w:val="26"/>
        </w:rPr>
        <w:t xml:space="preserve"> </w:t>
      </w:r>
      <w:r w:rsidR="00CF1967" w:rsidRPr="002C4A64">
        <w:rPr>
          <w:rFonts w:ascii="Calibri" w:hAnsi="Calibri"/>
          <w:color w:val="7F7F7F" w:themeColor="text1" w:themeTint="80"/>
          <w:sz w:val="26"/>
          <w:szCs w:val="26"/>
        </w:rPr>
        <w:t xml:space="preserve">por lo que </w:t>
      </w:r>
      <w:r w:rsidR="00591CB1" w:rsidRPr="002C4A64">
        <w:rPr>
          <w:rFonts w:ascii="Calibri" w:hAnsi="Calibri"/>
          <w:color w:val="7F7F7F" w:themeColor="text1" w:themeTint="80"/>
          <w:sz w:val="26"/>
          <w:szCs w:val="26"/>
        </w:rPr>
        <w:t>es procedente el presente proceso respecto del acto adminis</w:t>
      </w:r>
      <w:r w:rsidR="00CF1967" w:rsidRPr="002C4A64">
        <w:rPr>
          <w:rFonts w:ascii="Calibri" w:hAnsi="Calibri"/>
          <w:color w:val="7F7F7F" w:themeColor="text1" w:themeTint="80"/>
          <w:sz w:val="26"/>
          <w:szCs w:val="26"/>
        </w:rPr>
        <w:t>trativo impugnado</w:t>
      </w:r>
      <w:r w:rsidR="00591CB1" w:rsidRPr="002C4A64">
        <w:rPr>
          <w:rFonts w:ascii="Calibri" w:hAnsi="Calibri" w:cs="Arial"/>
          <w:color w:val="7F7F7F" w:themeColor="text1" w:themeTint="80"/>
          <w:sz w:val="26"/>
        </w:rPr>
        <w:t xml:space="preserve">. . . . </w:t>
      </w:r>
    </w:p>
    <w:p w:rsidR="00591CB1" w:rsidRPr="002C4A64" w:rsidRDefault="00591CB1" w:rsidP="00591CB1">
      <w:pPr>
        <w:pStyle w:val="Normal0"/>
        <w:jc w:val="both"/>
        <w:rPr>
          <w:rFonts w:ascii="Calibri" w:hAnsi="Calibri"/>
          <w:b/>
          <w:bCs/>
          <w:i/>
          <w:iCs/>
          <w:color w:val="7F7F7F" w:themeColor="text1" w:themeTint="80"/>
          <w:sz w:val="26"/>
          <w:szCs w:val="26"/>
        </w:rPr>
      </w:pPr>
    </w:p>
    <w:p w:rsidR="00591CB1" w:rsidRPr="002C4A64" w:rsidRDefault="00591CB1" w:rsidP="00591CB1">
      <w:pPr>
        <w:ind w:firstLine="708"/>
        <w:jc w:val="both"/>
        <w:rPr>
          <w:rFonts w:ascii="Calibri" w:hAnsi="Calibri"/>
          <w:color w:val="7F7F7F" w:themeColor="text1" w:themeTint="80"/>
          <w:sz w:val="26"/>
        </w:rPr>
      </w:pPr>
      <w:r w:rsidRPr="002C4A64">
        <w:rPr>
          <w:rFonts w:ascii="Calibri" w:hAnsi="Calibri" w:cs="Arial"/>
          <w:b/>
          <w:bCs/>
          <w:i/>
          <w:iCs/>
          <w:color w:val="7F7F7F" w:themeColor="text1" w:themeTint="80"/>
          <w:sz w:val="26"/>
          <w:szCs w:val="26"/>
        </w:rPr>
        <w:t xml:space="preserve">QUINTO.- </w:t>
      </w:r>
      <w:r w:rsidRPr="002C4A64">
        <w:rPr>
          <w:rFonts w:ascii="Calibri" w:hAnsi="Calibri"/>
          <w:color w:val="7F7F7F" w:themeColor="text1" w:themeTint="80"/>
          <w:sz w:val="26"/>
        </w:rPr>
        <w:t xml:space="preserve">Este Juzgador, en cumplimiento a lo establecido en la fracción I del artículo 299 del Código de Procedimiento y Justicia Administrativa para el </w:t>
      </w:r>
      <w:r w:rsidRPr="002C4A64">
        <w:rPr>
          <w:rFonts w:ascii="Calibri" w:hAnsi="Calibri"/>
          <w:color w:val="7F7F7F" w:themeColor="text1" w:themeTint="80"/>
          <w:sz w:val="26"/>
        </w:rPr>
        <w:lastRenderedPageBreak/>
        <w:t xml:space="preserve">Estado y los Municipios de Guanajuato, procede a fijar clara y precisamente los puntos controvertidos en la presente causa administrativa. . . . . . . . . . . . . . . . . . . </w:t>
      </w:r>
      <w:r w:rsidR="00DE7F8A">
        <w:rPr>
          <w:rFonts w:ascii="Calibri" w:hAnsi="Calibri"/>
          <w:color w:val="7F7F7F" w:themeColor="text1" w:themeTint="80"/>
          <w:sz w:val="26"/>
        </w:rPr>
        <w:t xml:space="preserve">. </w:t>
      </w:r>
      <w:r w:rsidRPr="002C4A64">
        <w:rPr>
          <w:rFonts w:ascii="Calibri" w:hAnsi="Calibri"/>
          <w:color w:val="7F7F7F" w:themeColor="text1" w:themeTint="80"/>
          <w:sz w:val="26"/>
        </w:rPr>
        <w:t xml:space="preserve"> </w:t>
      </w:r>
    </w:p>
    <w:p w:rsidR="00591CB1" w:rsidRPr="002C4A64" w:rsidRDefault="00591CB1" w:rsidP="00591CB1">
      <w:pPr>
        <w:jc w:val="both"/>
        <w:rPr>
          <w:rFonts w:ascii="Calibri" w:hAnsi="Calibri"/>
          <w:color w:val="7F7F7F" w:themeColor="text1" w:themeTint="80"/>
          <w:sz w:val="26"/>
        </w:rPr>
      </w:pPr>
    </w:p>
    <w:p w:rsidR="00FE4E60" w:rsidRDefault="00FE4E60" w:rsidP="00591CB1">
      <w:pPr>
        <w:ind w:firstLine="708"/>
        <w:jc w:val="both"/>
        <w:rPr>
          <w:rFonts w:ascii="Calibri" w:hAnsi="Calibri"/>
          <w:color w:val="7F7F7F" w:themeColor="text1" w:themeTint="80"/>
          <w:sz w:val="26"/>
          <w:szCs w:val="26"/>
        </w:rPr>
      </w:pPr>
    </w:p>
    <w:p w:rsidR="00FE4E60" w:rsidRDefault="00FE4E60" w:rsidP="00FE4E60">
      <w:pPr>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t>Expediente número 416/2013-JN</w:t>
      </w:r>
    </w:p>
    <w:p w:rsidR="00FE4E60" w:rsidRDefault="00FE4E60" w:rsidP="00591CB1">
      <w:pPr>
        <w:ind w:firstLine="708"/>
        <w:jc w:val="both"/>
        <w:rPr>
          <w:rFonts w:ascii="Calibri" w:hAnsi="Calibri"/>
          <w:color w:val="7F7F7F" w:themeColor="text1" w:themeTint="80"/>
          <w:sz w:val="26"/>
          <w:szCs w:val="26"/>
        </w:rPr>
      </w:pPr>
    </w:p>
    <w:p w:rsidR="00591CB1" w:rsidRPr="002C4A64" w:rsidRDefault="00591CB1" w:rsidP="00591CB1">
      <w:pPr>
        <w:ind w:firstLine="708"/>
        <w:jc w:val="both"/>
        <w:rPr>
          <w:rFonts w:ascii="Calibri" w:hAnsi="Calibri"/>
          <w:color w:val="7F7F7F" w:themeColor="text1" w:themeTint="80"/>
          <w:sz w:val="26"/>
          <w:szCs w:val="26"/>
        </w:rPr>
      </w:pPr>
      <w:r w:rsidRPr="002C4A64">
        <w:rPr>
          <w:rFonts w:ascii="Calibri" w:hAnsi="Calibri"/>
          <w:color w:val="7F7F7F" w:themeColor="text1" w:themeTint="80"/>
          <w:sz w:val="26"/>
          <w:szCs w:val="26"/>
        </w:rPr>
        <w:t xml:space="preserve">Tanto del escrito de demanda, como de las constancias que integran el presente expediente, se corrobora lo siguiente: . . . . . . . . . . . . . . . . . . . . . . . . . . . . </w:t>
      </w:r>
    </w:p>
    <w:p w:rsidR="00591CB1" w:rsidRPr="002C4A64" w:rsidRDefault="00591CB1" w:rsidP="00591CB1">
      <w:pPr>
        <w:ind w:firstLine="708"/>
        <w:jc w:val="both"/>
        <w:rPr>
          <w:rFonts w:ascii="Calibri" w:hAnsi="Calibri"/>
          <w:color w:val="7F7F7F" w:themeColor="text1" w:themeTint="80"/>
          <w:sz w:val="26"/>
          <w:szCs w:val="26"/>
        </w:rPr>
      </w:pPr>
    </w:p>
    <w:p w:rsidR="00591CB1" w:rsidRPr="002C4A64" w:rsidRDefault="00591CB1" w:rsidP="00591CB1">
      <w:pPr>
        <w:ind w:firstLine="708"/>
        <w:jc w:val="both"/>
        <w:rPr>
          <w:rFonts w:ascii="Calibri" w:hAnsi="Calibri"/>
          <w:color w:val="7F7F7F" w:themeColor="text1" w:themeTint="80"/>
          <w:sz w:val="26"/>
        </w:rPr>
      </w:pPr>
      <w:r w:rsidRPr="002C4A64">
        <w:rPr>
          <w:rFonts w:ascii="Calibri" w:hAnsi="Calibri"/>
          <w:color w:val="7F7F7F" w:themeColor="text1" w:themeTint="80"/>
          <w:sz w:val="26"/>
          <w:szCs w:val="26"/>
        </w:rPr>
        <w:t xml:space="preserve">a).- Que el ciudadano </w:t>
      </w:r>
      <w:r w:rsidR="00307289">
        <w:rPr>
          <w:rFonts w:ascii="Calibri" w:hAnsi="Calibri"/>
          <w:color w:val="7F7F7F" w:themeColor="text1" w:themeTint="80"/>
          <w:sz w:val="26"/>
          <w:szCs w:val="26"/>
        </w:rPr>
        <w:t>*****</w:t>
      </w:r>
      <w:r w:rsidR="00CF1967" w:rsidRPr="002C4A64">
        <w:rPr>
          <w:rFonts w:ascii="Calibri" w:hAnsi="Calibri"/>
          <w:color w:val="7F7F7F" w:themeColor="text1" w:themeTint="80"/>
          <w:sz w:val="26"/>
          <w:szCs w:val="26"/>
        </w:rPr>
        <w:t xml:space="preserve"> </w:t>
      </w:r>
      <w:r w:rsidRPr="002C4A64">
        <w:rPr>
          <w:rFonts w:ascii="Calibri" w:hAnsi="Calibri"/>
          <w:color w:val="7F7F7F" w:themeColor="text1" w:themeTint="80"/>
          <w:sz w:val="26"/>
          <w:szCs w:val="26"/>
        </w:rPr>
        <w:t xml:space="preserve">es propietario </w:t>
      </w:r>
      <w:r w:rsidRPr="002C4A64">
        <w:rPr>
          <w:rFonts w:ascii="Calibri" w:hAnsi="Calibri"/>
          <w:color w:val="7F7F7F" w:themeColor="text1" w:themeTint="80"/>
          <w:sz w:val="26"/>
        </w:rPr>
        <w:t>del</w:t>
      </w:r>
      <w:r w:rsidR="00CF1967" w:rsidRPr="002C4A64">
        <w:rPr>
          <w:rFonts w:ascii="Calibri" w:hAnsi="Calibri"/>
          <w:color w:val="7F7F7F" w:themeColor="text1" w:themeTint="80"/>
          <w:sz w:val="26"/>
        </w:rPr>
        <w:t xml:space="preserve"> inmueble ubicado en la calle Río Guadiana con número 202 doscientos dos, de la colonia Lomas de </w:t>
      </w:r>
      <w:proofErr w:type="spellStart"/>
      <w:r w:rsidR="00CF1967" w:rsidRPr="002C4A64">
        <w:rPr>
          <w:rFonts w:ascii="Calibri" w:hAnsi="Calibri"/>
          <w:color w:val="7F7F7F" w:themeColor="text1" w:themeTint="80"/>
          <w:sz w:val="26"/>
        </w:rPr>
        <w:t>Arbide</w:t>
      </w:r>
      <w:proofErr w:type="spellEnd"/>
      <w:r w:rsidR="00CF1967" w:rsidRPr="002C4A64">
        <w:rPr>
          <w:rFonts w:ascii="Calibri" w:hAnsi="Calibri"/>
          <w:color w:val="7F7F7F" w:themeColor="text1" w:themeTint="80"/>
          <w:sz w:val="26"/>
        </w:rPr>
        <w:t xml:space="preserve"> de esta ciudad de León, Guana</w:t>
      </w:r>
      <w:r w:rsidR="00CF1967" w:rsidRPr="00FE4E60">
        <w:rPr>
          <w:rFonts w:ascii="Calibri" w:hAnsi="Calibri"/>
          <w:color w:val="7F7F7F" w:themeColor="text1" w:themeTint="80"/>
          <w:sz w:val="26"/>
        </w:rPr>
        <w:t xml:space="preserve">juato, </w:t>
      </w:r>
      <w:r w:rsidR="00805649" w:rsidRPr="00FE4E60">
        <w:rPr>
          <w:rFonts w:ascii="Calibri" w:hAnsi="Calibri"/>
          <w:color w:val="7F7F7F" w:themeColor="text1" w:themeTint="80"/>
          <w:sz w:val="26"/>
        </w:rPr>
        <w:t xml:space="preserve">con </w:t>
      </w:r>
      <w:r w:rsidR="00CF1967" w:rsidRPr="002C4A64">
        <w:rPr>
          <w:rFonts w:ascii="Calibri" w:hAnsi="Calibri"/>
          <w:color w:val="7F7F7F" w:themeColor="text1" w:themeTint="80"/>
          <w:sz w:val="26"/>
        </w:rPr>
        <w:t>cuenta predial número 01-A- A04804-001, (cero uno guión A guión A cero-cuatro-ocho-cero-cuatro guión cero-cero-uno)</w:t>
      </w:r>
      <w:r w:rsidRPr="002C4A64">
        <w:rPr>
          <w:rFonts w:ascii="Calibri" w:hAnsi="Calibri"/>
          <w:color w:val="7F7F7F" w:themeColor="text1" w:themeTint="80"/>
          <w:sz w:val="26"/>
        </w:rPr>
        <w:t>. . . . . . . . . . . . . . . . . . . . . . . . . . . . . . . . . . . . . . . . . . . . . . . .</w:t>
      </w:r>
      <w:r w:rsidR="00FE4E60">
        <w:rPr>
          <w:rFonts w:ascii="Calibri" w:hAnsi="Calibri"/>
          <w:color w:val="7F7F7F" w:themeColor="text1" w:themeTint="80"/>
          <w:sz w:val="26"/>
        </w:rPr>
        <w:t xml:space="preserve"> . . . </w:t>
      </w:r>
    </w:p>
    <w:p w:rsidR="00591CB1" w:rsidRPr="002C4A64" w:rsidRDefault="00591CB1" w:rsidP="00591CB1">
      <w:pPr>
        <w:ind w:firstLine="708"/>
        <w:jc w:val="both"/>
        <w:rPr>
          <w:rFonts w:ascii="Calibri" w:hAnsi="Calibri"/>
          <w:color w:val="7F7F7F" w:themeColor="text1" w:themeTint="80"/>
          <w:sz w:val="26"/>
        </w:rPr>
      </w:pPr>
    </w:p>
    <w:p w:rsidR="00591CB1" w:rsidRPr="00B405D6" w:rsidRDefault="00591CB1" w:rsidP="005D2932">
      <w:pPr>
        <w:ind w:firstLine="708"/>
        <w:jc w:val="both"/>
        <w:rPr>
          <w:rFonts w:ascii="Calibri" w:hAnsi="Calibri" w:cs="Arial"/>
          <w:b/>
          <w:color w:val="7F7F7F" w:themeColor="text1" w:themeTint="80"/>
          <w:sz w:val="26"/>
          <w:szCs w:val="26"/>
        </w:rPr>
      </w:pPr>
      <w:r w:rsidRPr="002C4A64">
        <w:rPr>
          <w:rFonts w:ascii="Calibri" w:hAnsi="Calibri"/>
          <w:color w:val="7F7F7F" w:themeColor="text1" w:themeTint="80"/>
          <w:sz w:val="26"/>
        </w:rPr>
        <w:t xml:space="preserve">b).- Que el valor fiscal del inmueble descrito, en </w:t>
      </w:r>
      <w:r w:rsidR="005D2932" w:rsidRPr="002C4A64">
        <w:rPr>
          <w:rFonts w:ascii="Calibri" w:hAnsi="Calibri"/>
          <w:color w:val="7F7F7F" w:themeColor="text1" w:themeTint="80"/>
          <w:sz w:val="26"/>
        </w:rPr>
        <w:t>e</w:t>
      </w:r>
      <w:r w:rsidRPr="002C4A64">
        <w:rPr>
          <w:rFonts w:ascii="Calibri" w:hAnsi="Calibri"/>
          <w:color w:val="7F7F7F" w:themeColor="text1" w:themeTint="80"/>
          <w:sz w:val="26"/>
        </w:rPr>
        <w:t xml:space="preserve">l </w:t>
      </w:r>
      <w:r w:rsidR="005D2932" w:rsidRPr="002C4A64">
        <w:rPr>
          <w:rFonts w:ascii="Calibri" w:hAnsi="Calibri"/>
          <w:color w:val="7F7F7F" w:themeColor="text1" w:themeTint="80"/>
          <w:sz w:val="26"/>
        </w:rPr>
        <w:t xml:space="preserve">mes de diciembre del </w:t>
      </w:r>
      <w:r w:rsidRPr="002C4A64">
        <w:rPr>
          <w:rFonts w:ascii="Calibri" w:hAnsi="Calibri"/>
          <w:color w:val="7F7F7F" w:themeColor="text1" w:themeTint="80"/>
          <w:sz w:val="26"/>
        </w:rPr>
        <w:t>año 20</w:t>
      </w:r>
      <w:r w:rsidR="005D2932" w:rsidRPr="002C4A64">
        <w:rPr>
          <w:rFonts w:ascii="Calibri" w:hAnsi="Calibri"/>
          <w:color w:val="7F7F7F" w:themeColor="text1" w:themeTint="80"/>
          <w:sz w:val="26"/>
        </w:rPr>
        <w:t>10</w:t>
      </w:r>
      <w:r w:rsidRPr="002C4A64">
        <w:rPr>
          <w:rFonts w:ascii="Calibri" w:hAnsi="Calibri"/>
          <w:color w:val="7F7F7F" w:themeColor="text1" w:themeTint="80"/>
          <w:sz w:val="26"/>
        </w:rPr>
        <w:t xml:space="preserve"> dos mil </w:t>
      </w:r>
      <w:r w:rsidR="005D2932" w:rsidRPr="002C4A64">
        <w:rPr>
          <w:rFonts w:ascii="Calibri" w:hAnsi="Calibri"/>
          <w:color w:val="7F7F7F" w:themeColor="text1" w:themeTint="80"/>
          <w:sz w:val="26"/>
        </w:rPr>
        <w:t>di</w:t>
      </w:r>
      <w:r w:rsidRPr="002C4A64">
        <w:rPr>
          <w:rFonts w:ascii="Calibri" w:hAnsi="Calibri"/>
          <w:color w:val="7F7F7F" w:themeColor="text1" w:themeTint="80"/>
          <w:sz w:val="26"/>
        </w:rPr>
        <w:t>e</w:t>
      </w:r>
      <w:r w:rsidR="005D2932" w:rsidRPr="002C4A64">
        <w:rPr>
          <w:rFonts w:ascii="Calibri" w:hAnsi="Calibri"/>
          <w:color w:val="7F7F7F" w:themeColor="text1" w:themeTint="80"/>
          <w:sz w:val="26"/>
        </w:rPr>
        <w:t>z</w:t>
      </w:r>
      <w:r w:rsidRPr="002C4A64">
        <w:rPr>
          <w:rFonts w:ascii="Calibri" w:hAnsi="Calibri"/>
          <w:color w:val="7F7F7F" w:themeColor="text1" w:themeTint="80"/>
          <w:sz w:val="26"/>
        </w:rPr>
        <w:t>, era de $2</w:t>
      </w:r>
      <w:r w:rsidR="0059005B">
        <w:rPr>
          <w:rFonts w:ascii="Calibri" w:hAnsi="Calibri"/>
          <w:color w:val="7F7F7F" w:themeColor="text1" w:themeTint="80"/>
          <w:sz w:val="26"/>
        </w:rPr>
        <w:t>’</w:t>
      </w:r>
      <w:r w:rsidR="005D2932" w:rsidRPr="002C4A64">
        <w:rPr>
          <w:rFonts w:ascii="Calibri" w:hAnsi="Calibri"/>
          <w:color w:val="7F7F7F" w:themeColor="text1" w:themeTint="80"/>
          <w:sz w:val="26"/>
        </w:rPr>
        <w:t>719,208</w:t>
      </w:r>
      <w:r w:rsidRPr="002C4A64">
        <w:rPr>
          <w:rFonts w:ascii="Calibri" w:hAnsi="Calibri"/>
          <w:color w:val="7F7F7F" w:themeColor="text1" w:themeTint="80"/>
          <w:sz w:val="26"/>
        </w:rPr>
        <w:t>.</w:t>
      </w:r>
      <w:r w:rsidR="005D2932" w:rsidRPr="002C4A64">
        <w:rPr>
          <w:rFonts w:ascii="Calibri" w:hAnsi="Calibri"/>
          <w:color w:val="7F7F7F" w:themeColor="text1" w:themeTint="80"/>
          <w:sz w:val="26"/>
        </w:rPr>
        <w:t>10</w:t>
      </w:r>
      <w:r w:rsidRPr="002C4A64">
        <w:rPr>
          <w:rFonts w:ascii="Calibri" w:hAnsi="Calibri"/>
          <w:color w:val="7F7F7F" w:themeColor="text1" w:themeTint="80"/>
          <w:sz w:val="26"/>
        </w:rPr>
        <w:t xml:space="preserve"> (Dos</w:t>
      </w:r>
      <w:r w:rsidR="005D2932" w:rsidRPr="002C4A64">
        <w:rPr>
          <w:rFonts w:ascii="Calibri" w:hAnsi="Calibri"/>
          <w:color w:val="7F7F7F" w:themeColor="text1" w:themeTint="80"/>
          <w:sz w:val="26"/>
        </w:rPr>
        <w:t xml:space="preserve"> millones sete</w:t>
      </w:r>
      <w:r w:rsidRPr="002C4A64">
        <w:rPr>
          <w:rFonts w:ascii="Calibri" w:hAnsi="Calibri"/>
          <w:color w:val="7F7F7F" w:themeColor="text1" w:themeTint="80"/>
          <w:sz w:val="26"/>
        </w:rPr>
        <w:t>cientos</w:t>
      </w:r>
      <w:r w:rsidR="005D2932" w:rsidRPr="002C4A64">
        <w:rPr>
          <w:rFonts w:ascii="Calibri" w:hAnsi="Calibri"/>
          <w:color w:val="7F7F7F" w:themeColor="text1" w:themeTint="80"/>
          <w:sz w:val="26"/>
        </w:rPr>
        <w:t xml:space="preserve"> diec</w:t>
      </w:r>
      <w:r w:rsidR="005D2932" w:rsidRPr="00B405D6">
        <w:rPr>
          <w:rFonts w:ascii="Calibri" w:hAnsi="Calibri"/>
          <w:color w:val="7F7F7F" w:themeColor="text1" w:themeTint="80"/>
          <w:sz w:val="26"/>
        </w:rPr>
        <w:t>inueve mil doscientos ocho 10</w:t>
      </w:r>
      <w:r w:rsidRPr="00B405D6">
        <w:rPr>
          <w:rFonts w:ascii="Calibri" w:hAnsi="Calibri"/>
          <w:color w:val="7F7F7F" w:themeColor="text1" w:themeTint="80"/>
          <w:sz w:val="26"/>
        </w:rPr>
        <w:t xml:space="preserve">/100 Moneda Nacional), lo que se demuestra con </w:t>
      </w:r>
      <w:r w:rsidR="005D2932" w:rsidRPr="00B405D6">
        <w:rPr>
          <w:rFonts w:ascii="Calibri" w:hAnsi="Calibri"/>
          <w:color w:val="7F7F7F" w:themeColor="text1" w:themeTint="80"/>
          <w:sz w:val="26"/>
        </w:rPr>
        <w:t>e</w:t>
      </w:r>
      <w:r w:rsidRPr="00B405D6">
        <w:rPr>
          <w:rFonts w:ascii="Calibri" w:hAnsi="Calibri"/>
          <w:color w:val="7F7F7F" w:themeColor="text1" w:themeTint="80"/>
          <w:sz w:val="26"/>
        </w:rPr>
        <w:t xml:space="preserve">l </w:t>
      </w:r>
      <w:r w:rsidR="005D2932" w:rsidRPr="00B405D6">
        <w:rPr>
          <w:rFonts w:ascii="Calibri" w:hAnsi="Calibri"/>
          <w:color w:val="7F7F7F" w:themeColor="text1" w:themeTint="80"/>
          <w:sz w:val="26"/>
        </w:rPr>
        <w:t xml:space="preserve">estado de cuenta con folio 3055 tres mil cincuenta y cinco; </w:t>
      </w:r>
      <w:r w:rsidR="00805649" w:rsidRPr="00B405D6">
        <w:rPr>
          <w:rFonts w:ascii="Calibri" w:hAnsi="Calibri"/>
          <w:color w:val="7F7F7F" w:themeColor="text1" w:themeTint="80"/>
          <w:sz w:val="26"/>
          <w:szCs w:val="26"/>
        </w:rPr>
        <w:t>con corte al</w:t>
      </w:r>
      <w:r w:rsidRPr="00B405D6">
        <w:rPr>
          <w:rFonts w:ascii="Calibri" w:hAnsi="Calibri"/>
          <w:color w:val="7F7F7F" w:themeColor="text1" w:themeTint="80"/>
          <w:sz w:val="26"/>
          <w:szCs w:val="26"/>
        </w:rPr>
        <w:t xml:space="preserve"> </w:t>
      </w:r>
      <w:r w:rsidR="005D2932" w:rsidRPr="00B405D6">
        <w:rPr>
          <w:rFonts w:ascii="Calibri" w:hAnsi="Calibri"/>
          <w:color w:val="7F7F7F" w:themeColor="text1" w:themeTint="80"/>
          <w:sz w:val="26"/>
          <w:szCs w:val="26"/>
        </w:rPr>
        <w:t>20</w:t>
      </w:r>
      <w:r w:rsidRPr="00B405D6">
        <w:rPr>
          <w:rFonts w:ascii="Calibri" w:hAnsi="Calibri"/>
          <w:color w:val="7F7F7F" w:themeColor="text1" w:themeTint="80"/>
          <w:sz w:val="26"/>
          <w:szCs w:val="26"/>
        </w:rPr>
        <w:t xml:space="preserve"> </w:t>
      </w:r>
      <w:r w:rsidR="005D2932" w:rsidRPr="00B405D6">
        <w:rPr>
          <w:rFonts w:ascii="Calibri" w:hAnsi="Calibri"/>
          <w:color w:val="7F7F7F" w:themeColor="text1" w:themeTint="80"/>
          <w:sz w:val="26"/>
          <w:szCs w:val="26"/>
        </w:rPr>
        <w:t>veinte</w:t>
      </w:r>
      <w:r w:rsidRPr="00B405D6">
        <w:rPr>
          <w:rFonts w:ascii="Calibri" w:hAnsi="Calibri"/>
          <w:color w:val="7F7F7F" w:themeColor="text1" w:themeTint="80"/>
          <w:sz w:val="26"/>
          <w:szCs w:val="26"/>
        </w:rPr>
        <w:t xml:space="preserve"> de </w:t>
      </w:r>
      <w:r w:rsidR="005D2932" w:rsidRPr="00B405D6">
        <w:rPr>
          <w:rFonts w:ascii="Calibri" w:hAnsi="Calibri"/>
          <w:color w:val="7F7F7F" w:themeColor="text1" w:themeTint="80"/>
          <w:sz w:val="26"/>
          <w:szCs w:val="26"/>
        </w:rPr>
        <w:t xml:space="preserve">diciembre </w:t>
      </w:r>
      <w:r w:rsidRPr="00B405D6">
        <w:rPr>
          <w:rFonts w:ascii="Calibri" w:hAnsi="Calibri"/>
          <w:color w:val="7F7F7F" w:themeColor="text1" w:themeTint="80"/>
          <w:sz w:val="26"/>
          <w:szCs w:val="26"/>
        </w:rPr>
        <w:t>de 20</w:t>
      </w:r>
      <w:r w:rsidR="005D2932" w:rsidRPr="00B405D6">
        <w:rPr>
          <w:rFonts w:ascii="Calibri" w:hAnsi="Calibri"/>
          <w:color w:val="7F7F7F" w:themeColor="text1" w:themeTint="80"/>
          <w:sz w:val="26"/>
          <w:szCs w:val="26"/>
        </w:rPr>
        <w:t>10</w:t>
      </w:r>
      <w:r w:rsidRPr="00B405D6">
        <w:rPr>
          <w:rFonts w:ascii="Calibri" w:hAnsi="Calibri"/>
          <w:color w:val="7F7F7F" w:themeColor="text1" w:themeTint="80"/>
          <w:sz w:val="26"/>
          <w:szCs w:val="26"/>
        </w:rPr>
        <w:t xml:space="preserve"> dos mil </w:t>
      </w:r>
      <w:r w:rsidR="005D2932" w:rsidRPr="00B405D6">
        <w:rPr>
          <w:rFonts w:ascii="Calibri" w:hAnsi="Calibri"/>
          <w:color w:val="7F7F7F" w:themeColor="text1" w:themeTint="80"/>
          <w:sz w:val="26"/>
          <w:szCs w:val="26"/>
        </w:rPr>
        <w:t>diez</w:t>
      </w:r>
      <w:r w:rsidRPr="00B405D6">
        <w:rPr>
          <w:rFonts w:ascii="Calibri" w:hAnsi="Calibri"/>
          <w:color w:val="7F7F7F" w:themeColor="text1" w:themeTint="80"/>
          <w:sz w:val="26"/>
          <w:szCs w:val="26"/>
        </w:rPr>
        <w:t xml:space="preserve"> . . . . . . . . . . . . . . . . . . . . . . . . . . . . . . . .</w:t>
      </w:r>
      <w:r w:rsidR="00B405D6">
        <w:rPr>
          <w:rFonts w:ascii="Calibri" w:hAnsi="Calibri"/>
          <w:color w:val="7F7F7F" w:themeColor="text1" w:themeTint="80"/>
          <w:sz w:val="26"/>
          <w:szCs w:val="26"/>
        </w:rPr>
        <w:t xml:space="preserve"> . . </w:t>
      </w:r>
    </w:p>
    <w:p w:rsidR="00591CB1" w:rsidRPr="002C4A64" w:rsidRDefault="00591CB1" w:rsidP="00591CB1">
      <w:pPr>
        <w:ind w:firstLine="708"/>
        <w:jc w:val="both"/>
        <w:rPr>
          <w:rFonts w:ascii="Calibri" w:hAnsi="Calibri"/>
          <w:color w:val="7F7F7F" w:themeColor="text1" w:themeTint="80"/>
          <w:sz w:val="26"/>
          <w:szCs w:val="26"/>
        </w:rPr>
      </w:pPr>
    </w:p>
    <w:p w:rsidR="00591CB1" w:rsidRPr="002C4A64" w:rsidRDefault="00591CB1" w:rsidP="00591CB1">
      <w:pPr>
        <w:ind w:firstLine="708"/>
        <w:jc w:val="both"/>
        <w:rPr>
          <w:rFonts w:ascii="Calibri" w:hAnsi="Calibri"/>
          <w:color w:val="7F7F7F" w:themeColor="text1" w:themeTint="80"/>
          <w:sz w:val="26"/>
          <w:szCs w:val="26"/>
        </w:rPr>
      </w:pPr>
      <w:r w:rsidRPr="002C4A64">
        <w:rPr>
          <w:rFonts w:ascii="Calibri" w:hAnsi="Calibri"/>
          <w:color w:val="7F7F7F" w:themeColor="text1" w:themeTint="80"/>
          <w:sz w:val="26"/>
          <w:szCs w:val="26"/>
        </w:rPr>
        <w:t xml:space="preserve">c).- Que con fecha </w:t>
      </w:r>
      <w:r w:rsidR="005D2932" w:rsidRPr="002C4A64">
        <w:rPr>
          <w:rFonts w:ascii="Calibri" w:hAnsi="Calibri"/>
          <w:color w:val="7F7F7F" w:themeColor="text1" w:themeTint="80"/>
          <w:sz w:val="26"/>
          <w:szCs w:val="26"/>
        </w:rPr>
        <w:t>5</w:t>
      </w:r>
      <w:r w:rsidRPr="002C4A64">
        <w:rPr>
          <w:rFonts w:ascii="Calibri" w:hAnsi="Calibri"/>
          <w:color w:val="7F7F7F" w:themeColor="text1" w:themeTint="80"/>
          <w:sz w:val="26"/>
          <w:szCs w:val="26"/>
        </w:rPr>
        <w:t xml:space="preserve"> </w:t>
      </w:r>
      <w:r w:rsidR="005D2932" w:rsidRPr="002C4A64">
        <w:rPr>
          <w:rFonts w:ascii="Calibri" w:hAnsi="Calibri"/>
          <w:color w:val="7F7F7F" w:themeColor="text1" w:themeTint="80"/>
          <w:sz w:val="26"/>
          <w:szCs w:val="26"/>
        </w:rPr>
        <w:t>cinc</w:t>
      </w:r>
      <w:r w:rsidRPr="002C4A64">
        <w:rPr>
          <w:rFonts w:ascii="Calibri" w:hAnsi="Calibri"/>
          <w:color w:val="7F7F7F" w:themeColor="text1" w:themeTint="80"/>
          <w:sz w:val="26"/>
          <w:szCs w:val="26"/>
        </w:rPr>
        <w:t xml:space="preserve">o de </w:t>
      </w:r>
      <w:r w:rsidR="005D2932" w:rsidRPr="002C4A64">
        <w:rPr>
          <w:rFonts w:ascii="Calibri" w:hAnsi="Calibri"/>
          <w:color w:val="7F7F7F" w:themeColor="text1" w:themeTint="80"/>
          <w:sz w:val="26"/>
          <w:szCs w:val="26"/>
        </w:rPr>
        <w:t>juli</w:t>
      </w:r>
      <w:r w:rsidRPr="002C4A64">
        <w:rPr>
          <w:rFonts w:ascii="Calibri" w:hAnsi="Calibri"/>
          <w:color w:val="7F7F7F" w:themeColor="text1" w:themeTint="80"/>
          <w:sz w:val="26"/>
          <w:szCs w:val="26"/>
        </w:rPr>
        <w:t>o</w:t>
      </w:r>
      <w:r w:rsidR="005D2932" w:rsidRPr="002C4A64">
        <w:rPr>
          <w:rFonts w:ascii="Calibri" w:hAnsi="Calibri"/>
          <w:color w:val="7F7F7F" w:themeColor="text1" w:themeTint="80"/>
          <w:sz w:val="26"/>
          <w:szCs w:val="26"/>
        </w:rPr>
        <w:t xml:space="preserve"> </w:t>
      </w:r>
      <w:r w:rsidRPr="002C4A64">
        <w:rPr>
          <w:rFonts w:ascii="Calibri" w:hAnsi="Calibri"/>
          <w:color w:val="7F7F7F" w:themeColor="text1" w:themeTint="80"/>
          <w:sz w:val="26"/>
          <w:szCs w:val="26"/>
        </w:rPr>
        <w:t>de</w:t>
      </w:r>
      <w:r w:rsidR="005D2932" w:rsidRPr="002C4A64">
        <w:rPr>
          <w:rFonts w:ascii="Calibri" w:hAnsi="Calibri"/>
          <w:color w:val="7F7F7F" w:themeColor="text1" w:themeTint="80"/>
          <w:sz w:val="26"/>
          <w:szCs w:val="26"/>
        </w:rPr>
        <w:t>l año</w:t>
      </w:r>
      <w:r w:rsidRPr="002C4A64">
        <w:rPr>
          <w:rFonts w:ascii="Calibri" w:hAnsi="Calibri"/>
          <w:color w:val="7F7F7F" w:themeColor="text1" w:themeTint="80"/>
          <w:sz w:val="26"/>
          <w:szCs w:val="26"/>
        </w:rPr>
        <w:t xml:space="preserve"> 201</w:t>
      </w:r>
      <w:r w:rsidR="005D2932" w:rsidRPr="002C4A64">
        <w:rPr>
          <w:rFonts w:ascii="Calibri" w:hAnsi="Calibri"/>
          <w:color w:val="7F7F7F" w:themeColor="text1" w:themeTint="80"/>
          <w:sz w:val="26"/>
          <w:szCs w:val="26"/>
        </w:rPr>
        <w:t>3</w:t>
      </w:r>
      <w:r w:rsidRPr="002C4A64">
        <w:rPr>
          <w:rFonts w:ascii="Calibri" w:hAnsi="Calibri"/>
          <w:color w:val="7F7F7F" w:themeColor="text1" w:themeTint="80"/>
          <w:sz w:val="26"/>
          <w:szCs w:val="26"/>
        </w:rPr>
        <w:t xml:space="preserve"> dos mil </w:t>
      </w:r>
      <w:r w:rsidR="005D2932" w:rsidRPr="002C4A64">
        <w:rPr>
          <w:rFonts w:ascii="Calibri" w:hAnsi="Calibri"/>
          <w:color w:val="7F7F7F" w:themeColor="text1" w:themeTint="80"/>
          <w:sz w:val="26"/>
          <w:szCs w:val="26"/>
        </w:rPr>
        <w:t>tre</w:t>
      </w:r>
      <w:r w:rsidRPr="002C4A64">
        <w:rPr>
          <w:rFonts w:ascii="Calibri" w:hAnsi="Calibri"/>
          <w:color w:val="7F7F7F" w:themeColor="text1" w:themeTint="80"/>
          <w:sz w:val="26"/>
          <w:szCs w:val="26"/>
        </w:rPr>
        <w:t>ce, al solicitar el justiciable un estado de cuenta respecto del impuesto predial generado por el inmueble (localizable a foja 1</w:t>
      </w:r>
      <w:r w:rsidR="005D2932" w:rsidRPr="002C4A64">
        <w:rPr>
          <w:rFonts w:ascii="Calibri" w:hAnsi="Calibri"/>
          <w:color w:val="7F7F7F" w:themeColor="text1" w:themeTint="80"/>
          <w:sz w:val="26"/>
          <w:szCs w:val="26"/>
        </w:rPr>
        <w:t>7</w:t>
      </w:r>
      <w:r w:rsidRPr="002C4A64">
        <w:rPr>
          <w:rFonts w:ascii="Calibri" w:hAnsi="Calibri"/>
          <w:color w:val="7F7F7F" w:themeColor="text1" w:themeTint="80"/>
          <w:sz w:val="26"/>
          <w:szCs w:val="26"/>
        </w:rPr>
        <w:t xml:space="preserve"> </w:t>
      </w:r>
      <w:r w:rsidR="005D2932" w:rsidRPr="002C4A64">
        <w:rPr>
          <w:rFonts w:ascii="Calibri" w:hAnsi="Calibri"/>
          <w:color w:val="7F7F7F" w:themeColor="text1" w:themeTint="80"/>
          <w:sz w:val="26"/>
          <w:szCs w:val="26"/>
        </w:rPr>
        <w:t>d</w:t>
      </w:r>
      <w:r w:rsidRPr="002C4A64">
        <w:rPr>
          <w:rFonts w:ascii="Calibri" w:hAnsi="Calibri"/>
          <w:color w:val="7F7F7F" w:themeColor="text1" w:themeTint="80"/>
          <w:sz w:val="26"/>
          <w:szCs w:val="26"/>
        </w:rPr>
        <w:t>i</w:t>
      </w:r>
      <w:r w:rsidR="005D2932" w:rsidRPr="002C4A64">
        <w:rPr>
          <w:rFonts w:ascii="Calibri" w:hAnsi="Calibri"/>
          <w:color w:val="7F7F7F" w:themeColor="text1" w:themeTint="80"/>
          <w:sz w:val="26"/>
          <w:szCs w:val="26"/>
        </w:rPr>
        <w:t>ecisiet</w:t>
      </w:r>
      <w:r w:rsidRPr="002C4A64">
        <w:rPr>
          <w:rFonts w:ascii="Calibri" w:hAnsi="Calibri"/>
          <w:color w:val="7F7F7F" w:themeColor="text1" w:themeTint="80"/>
          <w:sz w:val="26"/>
          <w:szCs w:val="26"/>
        </w:rPr>
        <w:t xml:space="preserve">e), se percató que se señaló como valor fiscal del inmueble, descrito en </w:t>
      </w:r>
      <w:proofErr w:type="spellStart"/>
      <w:r w:rsidRPr="002C4A64">
        <w:rPr>
          <w:rFonts w:ascii="Calibri" w:hAnsi="Calibri"/>
          <w:color w:val="7F7F7F" w:themeColor="text1" w:themeTint="80"/>
          <w:sz w:val="26"/>
          <w:szCs w:val="26"/>
        </w:rPr>
        <w:t>supralíneas</w:t>
      </w:r>
      <w:proofErr w:type="spellEnd"/>
      <w:r w:rsidRPr="002C4A64">
        <w:rPr>
          <w:rFonts w:ascii="Calibri" w:hAnsi="Calibri"/>
          <w:color w:val="7F7F7F" w:themeColor="text1" w:themeTint="80"/>
          <w:sz w:val="26"/>
          <w:szCs w:val="26"/>
        </w:rPr>
        <w:t>, la cantidad de $</w:t>
      </w:r>
      <w:r w:rsidR="005D2932" w:rsidRPr="002C4A64">
        <w:rPr>
          <w:rFonts w:ascii="Calibri" w:hAnsi="Calibri"/>
          <w:color w:val="7F7F7F" w:themeColor="text1" w:themeTint="80"/>
          <w:sz w:val="26"/>
          <w:szCs w:val="26"/>
        </w:rPr>
        <w:t>2</w:t>
      </w:r>
      <w:r w:rsidRPr="002C4A64">
        <w:rPr>
          <w:rFonts w:ascii="Calibri" w:hAnsi="Calibri"/>
          <w:color w:val="7F7F7F" w:themeColor="text1" w:themeTint="80"/>
          <w:sz w:val="26"/>
          <w:szCs w:val="26"/>
        </w:rPr>
        <w:t>’</w:t>
      </w:r>
      <w:r w:rsidR="005D2932" w:rsidRPr="002C4A64">
        <w:rPr>
          <w:rFonts w:ascii="Calibri" w:hAnsi="Calibri"/>
          <w:color w:val="7F7F7F" w:themeColor="text1" w:themeTint="80"/>
          <w:sz w:val="26"/>
          <w:szCs w:val="26"/>
        </w:rPr>
        <w:t>839</w:t>
      </w:r>
      <w:r w:rsidRPr="002C4A64">
        <w:rPr>
          <w:rFonts w:ascii="Calibri" w:hAnsi="Calibri"/>
          <w:color w:val="7F7F7F" w:themeColor="text1" w:themeTint="80"/>
          <w:sz w:val="26"/>
          <w:szCs w:val="26"/>
        </w:rPr>
        <w:t>,</w:t>
      </w:r>
      <w:r w:rsidR="005D2932" w:rsidRPr="002C4A64">
        <w:rPr>
          <w:rFonts w:ascii="Calibri" w:hAnsi="Calibri"/>
          <w:color w:val="7F7F7F" w:themeColor="text1" w:themeTint="80"/>
          <w:sz w:val="26"/>
          <w:szCs w:val="26"/>
        </w:rPr>
        <w:t>957</w:t>
      </w:r>
      <w:r w:rsidRPr="002C4A64">
        <w:rPr>
          <w:rFonts w:ascii="Calibri" w:hAnsi="Calibri"/>
          <w:color w:val="7F7F7F" w:themeColor="text1" w:themeTint="80"/>
          <w:sz w:val="26"/>
          <w:szCs w:val="26"/>
        </w:rPr>
        <w:t>.</w:t>
      </w:r>
      <w:r w:rsidR="005D2932" w:rsidRPr="002C4A64">
        <w:rPr>
          <w:rFonts w:ascii="Calibri" w:hAnsi="Calibri"/>
          <w:color w:val="7F7F7F" w:themeColor="text1" w:themeTint="80"/>
          <w:sz w:val="26"/>
          <w:szCs w:val="26"/>
        </w:rPr>
        <w:t>28</w:t>
      </w:r>
      <w:r w:rsidRPr="002C4A64">
        <w:rPr>
          <w:rFonts w:ascii="Calibri" w:hAnsi="Calibri"/>
          <w:color w:val="7F7F7F" w:themeColor="text1" w:themeTint="80"/>
          <w:sz w:val="26"/>
          <w:szCs w:val="26"/>
        </w:rPr>
        <w:t xml:space="preserve"> (</w:t>
      </w:r>
      <w:r w:rsidR="005D2932" w:rsidRPr="002C4A64">
        <w:rPr>
          <w:rFonts w:ascii="Calibri" w:hAnsi="Calibri"/>
          <w:color w:val="7F7F7F" w:themeColor="text1" w:themeTint="80"/>
          <w:sz w:val="26"/>
          <w:szCs w:val="26"/>
        </w:rPr>
        <w:t xml:space="preserve">Dos millones ochocientos </w:t>
      </w:r>
      <w:r w:rsidRPr="002C4A64">
        <w:rPr>
          <w:rFonts w:ascii="Calibri" w:hAnsi="Calibri"/>
          <w:color w:val="7F7F7F" w:themeColor="text1" w:themeTint="80"/>
          <w:sz w:val="26"/>
          <w:szCs w:val="26"/>
        </w:rPr>
        <w:t xml:space="preserve">treinta y </w:t>
      </w:r>
      <w:r w:rsidR="005D2932" w:rsidRPr="002C4A64">
        <w:rPr>
          <w:rFonts w:ascii="Calibri" w:hAnsi="Calibri"/>
          <w:color w:val="7F7F7F" w:themeColor="text1" w:themeTint="80"/>
          <w:sz w:val="26"/>
          <w:szCs w:val="26"/>
        </w:rPr>
        <w:t>n</w:t>
      </w:r>
      <w:r w:rsidRPr="002C4A64">
        <w:rPr>
          <w:rFonts w:ascii="Calibri" w:hAnsi="Calibri"/>
          <w:color w:val="7F7F7F" w:themeColor="text1" w:themeTint="80"/>
          <w:sz w:val="26"/>
          <w:szCs w:val="26"/>
        </w:rPr>
        <w:t>u</w:t>
      </w:r>
      <w:r w:rsidR="005D2932" w:rsidRPr="002C4A64">
        <w:rPr>
          <w:rFonts w:ascii="Calibri" w:hAnsi="Calibri"/>
          <w:color w:val="7F7F7F" w:themeColor="text1" w:themeTint="80"/>
          <w:sz w:val="26"/>
          <w:szCs w:val="26"/>
        </w:rPr>
        <w:t>eve</w:t>
      </w:r>
      <w:r w:rsidRPr="002C4A64">
        <w:rPr>
          <w:rFonts w:ascii="Calibri" w:hAnsi="Calibri"/>
          <w:color w:val="7F7F7F" w:themeColor="text1" w:themeTint="80"/>
          <w:sz w:val="26"/>
          <w:szCs w:val="26"/>
        </w:rPr>
        <w:t xml:space="preserve"> mil </w:t>
      </w:r>
      <w:r w:rsidR="005D2932" w:rsidRPr="002C4A64">
        <w:rPr>
          <w:rFonts w:ascii="Calibri" w:hAnsi="Calibri"/>
          <w:color w:val="7F7F7F" w:themeColor="text1" w:themeTint="80"/>
          <w:sz w:val="26"/>
          <w:szCs w:val="26"/>
        </w:rPr>
        <w:t>nove</w:t>
      </w:r>
      <w:r w:rsidRPr="002C4A64">
        <w:rPr>
          <w:rFonts w:ascii="Calibri" w:hAnsi="Calibri"/>
          <w:color w:val="7F7F7F" w:themeColor="text1" w:themeTint="80"/>
          <w:sz w:val="26"/>
          <w:szCs w:val="26"/>
        </w:rPr>
        <w:t xml:space="preserve">cientos </w:t>
      </w:r>
      <w:r w:rsidR="005D2932" w:rsidRPr="002C4A64">
        <w:rPr>
          <w:rFonts w:ascii="Calibri" w:hAnsi="Calibri"/>
          <w:color w:val="7F7F7F" w:themeColor="text1" w:themeTint="80"/>
          <w:sz w:val="26"/>
          <w:szCs w:val="26"/>
        </w:rPr>
        <w:t>c</w:t>
      </w:r>
      <w:r w:rsidRPr="002C4A64">
        <w:rPr>
          <w:rFonts w:ascii="Calibri" w:hAnsi="Calibri"/>
          <w:color w:val="7F7F7F" w:themeColor="text1" w:themeTint="80"/>
          <w:sz w:val="26"/>
          <w:szCs w:val="26"/>
        </w:rPr>
        <w:t>in</w:t>
      </w:r>
      <w:r w:rsidR="005D2932" w:rsidRPr="002C4A64">
        <w:rPr>
          <w:rFonts w:ascii="Calibri" w:hAnsi="Calibri"/>
          <w:color w:val="7F7F7F" w:themeColor="text1" w:themeTint="80"/>
          <w:sz w:val="26"/>
          <w:szCs w:val="26"/>
        </w:rPr>
        <w:t>cuenta y siete</w:t>
      </w:r>
      <w:r w:rsidRPr="002C4A64">
        <w:rPr>
          <w:rFonts w:ascii="Calibri" w:hAnsi="Calibri"/>
          <w:color w:val="7F7F7F" w:themeColor="text1" w:themeTint="80"/>
          <w:sz w:val="26"/>
          <w:szCs w:val="26"/>
        </w:rPr>
        <w:t xml:space="preserve"> pesos </w:t>
      </w:r>
      <w:r w:rsidR="005D2932" w:rsidRPr="002C4A64">
        <w:rPr>
          <w:rFonts w:ascii="Calibri" w:hAnsi="Calibri"/>
          <w:color w:val="7F7F7F" w:themeColor="text1" w:themeTint="80"/>
          <w:sz w:val="26"/>
          <w:szCs w:val="26"/>
        </w:rPr>
        <w:t>28</w:t>
      </w:r>
      <w:r w:rsidRPr="002C4A64">
        <w:rPr>
          <w:rFonts w:ascii="Calibri" w:hAnsi="Calibri"/>
          <w:color w:val="7F7F7F" w:themeColor="text1" w:themeTint="80"/>
          <w:sz w:val="26"/>
          <w:szCs w:val="26"/>
        </w:rPr>
        <w:t xml:space="preserve">/100 Moneda Nacional). . . . . . . . . . . . . . . . . . . . . . . . . . . . . . . . . . . . . </w:t>
      </w:r>
      <w:r w:rsidR="005D2932" w:rsidRPr="002C4A64">
        <w:rPr>
          <w:rFonts w:ascii="Calibri" w:hAnsi="Calibri"/>
          <w:color w:val="7F7F7F" w:themeColor="text1" w:themeTint="80"/>
          <w:sz w:val="26"/>
          <w:szCs w:val="26"/>
        </w:rPr>
        <w:t xml:space="preserve">. . . . . . . . . . </w:t>
      </w:r>
    </w:p>
    <w:p w:rsidR="00591CB1" w:rsidRPr="002C4A64" w:rsidRDefault="00591CB1" w:rsidP="00591CB1">
      <w:pPr>
        <w:ind w:firstLine="708"/>
        <w:jc w:val="both"/>
        <w:rPr>
          <w:rFonts w:ascii="Calibri" w:hAnsi="Calibri"/>
          <w:color w:val="7F7F7F" w:themeColor="text1" w:themeTint="80"/>
          <w:sz w:val="26"/>
          <w:szCs w:val="26"/>
        </w:rPr>
      </w:pPr>
    </w:p>
    <w:p w:rsidR="00591CB1" w:rsidRPr="002C4A64" w:rsidRDefault="00591CB1" w:rsidP="00591CB1">
      <w:pPr>
        <w:ind w:firstLine="708"/>
        <w:jc w:val="both"/>
        <w:rPr>
          <w:rFonts w:ascii="Calibri" w:hAnsi="Calibri"/>
          <w:color w:val="7F7F7F" w:themeColor="text1" w:themeTint="80"/>
          <w:sz w:val="26"/>
          <w:szCs w:val="26"/>
        </w:rPr>
      </w:pPr>
      <w:r w:rsidRPr="002C4A64">
        <w:rPr>
          <w:rFonts w:ascii="Calibri" w:hAnsi="Calibri"/>
          <w:color w:val="7F7F7F" w:themeColor="text1" w:themeTint="80"/>
          <w:sz w:val="26"/>
          <w:szCs w:val="26"/>
        </w:rPr>
        <w:t>Valor fiscal que el impetrante considera se estableció, practicando un avalúo sin seguir las formalidades previstas en la Ley de Hacienda para los Municipios del Estado de Guanajuato, ya que no hubo orden de valuación ni se notificó el resultado de ese avalúo. . . . . . . . . . . . . . . . . . . . . . . . . . . . . . . . . . . . . . . .</w:t>
      </w:r>
    </w:p>
    <w:p w:rsidR="00591CB1" w:rsidRPr="002C4A64" w:rsidRDefault="00591CB1" w:rsidP="00591CB1">
      <w:pPr>
        <w:ind w:firstLine="708"/>
        <w:jc w:val="both"/>
        <w:rPr>
          <w:rFonts w:ascii="Calibri" w:hAnsi="Calibri"/>
          <w:color w:val="7F7F7F" w:themeColor="text1" w:themeTint="80"/>
          <w:sz w:val="26"/>
          <w:szCs w:val="26"/>
        </w:rPr>
      </w:pPr>
    </w:p>
    <w:p w:rsidR="00591CB1" w:rsidRPr="002C4A64" w:rsidRDefault="00591CB1" w:rsidP="00591CB1">
      <w:pPr>
        <w:ind w:firstLine="708"/>
        <w:jc w:val="both"/>
        <w:rPr>
          <w:rFonts w:ascii="Calibri" w:hAnsi="Calibri"/>
          <w:color w:val="7F7F7F" w:themeColor="text1" w:themeTint="80"/>
          <w:sz w:val="26"/>
          <w:szCs w:val="26"/>
        </w:rPr>
      </w:pPr>
      <w:r w:rsidRPr="002C4A64">
        <w:rPr>
          <w:rFonts w:ascii="Calibri" w:hAnsi="Calibri"/>
          <w:color w:val="7F7F7F" w:themeColor="text1" w:themeTint="80"/>
          <w:sz w:val="26"/>
          <w:szCs w:val="26"/>
        </w:rPr>
        <w:t xml:space="preserve">A lo argüido por el </w:t>
      </w:r>
      <w:proofErr w:type="spellStart"/>
      <w:r w:rsidRPr="002C4A64">
        <w:rPr>
          <w:rFonts w:ascii="Calibri" w:hAnsi="Calibri"/>
          <w:color w:val="7F7F7F" w:themeColor="text1" w:themeTint="80"/>
          <w:sz w:val="26"/>
          <w:szCs w:val="26"/>
        </w:rPr>
        <w:t>enjuiciante</w:t>
      </w:r>
      <w:proofErr w:type="spellEnd"/>
      <w:r w:rsidRPr="002C4A64">
        <w:rPr>
          <w:rFonts w:ascii="Calibri" w:hAnsi="Calibri"/>
          <w:color w:val="7F7F7F" w:themeColor="text1" w:themeTint="80"/>
          <w:sz w:val="26"/>
          <w:szCs w:val="26"/>
        </w:rPr>
        <w:t>, las autoridades demandadas expresaron que sí se siguió el procedimiento contemplado en la Ley, ya que si existe orden de valuación y que sí se notificaron los resultados del avalúo. . . . . . . . . . . . . . . . . .</w:t>
      </w:r>
      <w:r w:rsidR="00713569" w:rsidRPr="002C4A64">
        <w:rPr>
          <w:rFonts w:ascii="Calibri" w:hAnsi="Calibri"/>
          <w:color w:val="7F7F7F" w:themeColor="text1" w:themeTint="80"/>
          <w:sz w:val="26"/>
          <w:szCs w:val="26"/>
        </w:rPr>
        <w:t xml:space="preserve"> </w:t>
      </w:r>
    </w:p>
    <w:p w:rsidR="00591CB1" w:rsidRPr="002C4A64" w:rsidRDefault="00591CB1" w:rsidP="00591CB1">
      <w:pPr>
        <w:jc w:val="both"/>
        <w:rPr>
          <w:rFonts w:ascii="Calibri" w:hAnsi="Calibri"/>
          <w:color w:val="7F7F7F" w:themeColor="text1" w:themeTint="80"/>
          <w:sz w:val="26"/>
        </w:rPr>
      </w:pPr>
    </w:p>
    <w:p w:rsidR="00591CB1" w:rsidRDefault="00591CB1" w:rsidP="00713569">
      <w:pPr>
        <w:ind w:firstLine="708"/>
        <w:jc w:val="both"/>
        <w:rPr>
          <w:rFonts w:ascii="Calibri" w:hAnsi="Calibri"/>
          <w:color w:val="7F7F7F" w:themeColor="text1" w:themeTint="80"/>
          <w:sz w:val="26"/>
          <w:szCs w:val="26"/>
        </w:rPr>
      </w:pPr>
      <w:r w:rsidRPr="002C4A64">
        <w:rPr>
          <w:rFonts w:ascii="Calibri" w:hAnsi="Calibri"/>
          <w:color w:val="7F7F7F" w:themeColor="text1" w:themeTint="80"/>
          <w:sz w:val="26"/>
        </w:rPr>
        <w:t xml:space="preserve">Luego entonces, </w:t>
      </w:r>
      <w:r w:rsidRPr="002C4A64">
        <w:rPr>
          <w:rFonts w:ascii="Calibri" w:hAnsi="Calibri" w:cs="Calibri"/>
          <w:color w:val="7F7F7F" w:themeColor="text1" w:themeTint="80"/>
          <w:sz w:val="26"/>
        </w:rPr>
        <w:t xml:space="preserve">la </w:t>
      </w:r>
      <w:r w:rsidRPr="009F75BC">
        <w:rPr>
          <w:rFonts w:ascii="Calibri" w:hAnsi="Calibri" w:cs="Calibri"/>
          <w:i/>
          <w:color w:val="7F7F7F" w:themeColor="text1" w:themeTint="80"/>
          <w:sz w:val="26"/>
        </w:rPr>
        <w:t>“</w:t>
      </w:r>
      <w:proofErr w:type="spellStart"/>
      <w:r w:rsidRPr="009F75BC">
        <w:rPr>
          <w:rFonts w:ascii="Calibri" w:hAnsi="Calibri" w:cs="Calibri"/>
          <w:i/>
          <w:color w:val="7F7F7F" w:themeColor="text1" w:themeTint="80"/>
          <w:sz w:val="26"/>
        </w:rPr>
        <w:t>litis</w:t>
      </w:r>
      <w:proofErr w:type="spellEnd"/>
      <w:r w:rsidRPr="009F75BC">
        <w:rPr>
          <w:rFonts w:ascii="Calibri" w:hAnsi="Calibri" w:cs="Calibri"/>
          <w:i/>
          <w:color w:val="7F7F7F" w:themeColor="text1" w:themeTint="80"/>
          <w:sz w:val="26"/>
        </w:rPr>
        <w:t>”</w:t>
      </w:r>
      <w:r w:rsidRPr="002C4A64">
        <w:rPr>
          <w:rFonts w:ascii="Calibri" w:hAnsi="Calibri" w:cs="Calibri"/>
          <w:color w:val="7F7F7F" w:themeColor="text1" w:themeTint="80"/>
          <w:sz w:val="26"/>
        </w:rPr>
        <w:t xml:space="preserve"> planteada se hace consistir en determinar la legalidad o ilegalidad del </w:t>
      </w:r>
      <w:r w:rsidRPr="002C4A64">
        <w:rPr>
          <w:rFonts w:ascii="Calibri" w:hAnsi="Calibri"/>
          <w:color w:val="7F7F7F" w:themeColor="text1" w:themeTint="80"/>
          <w:sz w:val="26"/>
        </w:rPr>
        <w:t>nuevo valor fiscal que se le dio al</w:t>
      </w:r>
      <w:r w:rsidR="00713569" w:rsidRPr="002C4A64">
        <w:rPr>
          <w:rFonts w:ascii="Calibri" w:hAnsi="Calibri"/>
          <w:color w:val="7F7F7F" w:themeColor="text1" w:themeTint="80"/>
          <w:sz w:val="26"/>
        </w:rPr>
        <w:t xml:space="preserve"> inmueble ubicado en la calle Río Guadiana con número 202 doscientos dos, de la colonia Lomas de </w:t>
      </w:r>
      <w:proofErr w:type="spellStart"/>
      <w:r w:rsidR="00713569" w:rsidRPr="002C4A64">
        <w:rPr>
          <w:rFonts w:ascii="Calibri" w:hAnsi="Calibri"/>
          <w:color w:val="7F7F7F" w:themeColor="text1" w:themeTint="80"/>
          <w:sz w:val="26"/>
        </w:rPr>
        <w:t>Arbide</w:t>
      </w:r>
      <w:proofErr w:type="spellEnd"/>
      <w:r w:rsidR="00713569" w:rsidRPr="002C4A64">
        <w:rPr>
          <w:rFonts w:ascii="Calibri" w:hAnsi="Calibri"/>
          <w:color w:val="7F7F7F" w:themeColor="text1" w:themeTint="80"/>
          <w:sz w:val="26"/>
        </w:rPr>
        <w:t xml:space="preserve"> de esta ciudad de León, Guanajuato, de la cuenta predial número 01-A- A04804-001, (cero uno guión A guión A cero-cuatro-ocho-cero-cuatro guión cero-cero-uno)</w:t>
      </w:r>
      <w:r w:rsidR="00713569" w:rsidRPr="002C4A64">
        <w:rPr>
          <w:rFonts w:ascii="Calibri" w:hAnsi="Calibri"/>
          <w:color w:val="7F7F7F" w:themeColor="text1" w:themeTint="80"/>
          <w:sz w:val="26"/>
          <w:szCs w:val="26"/>
        </w:rPr>
        <w:t xml:space="preserve">. </w:t>
      </w:r>
      <w:r w:rsidRPr="002C4A64">
        <w:rPr>
          <w:rFonts w:ascii="Calibri" w:hAnsi="Calibri"/>
          <w:color w:val="7F7F7F" w:themeColor="text1" w:themeTint="80"/>
          <w:sz w:val="26"/>
          <w:szCs w:val="26"/>
        </w:rPr>
        <w:t xml:space="preserve">. . . . . . . . . . . . . . . . . . . . . . . . . . . . . . . . . . . . . . . . . . . . . . . . . . . . . . . . . . </w:t>
      </w:r>
      <w:r w:rsidR="009F75BC">
        <w:rPr>
          <w:rFonts w:ascii="Calibri" w:hAnsi="Calibri"/>
          <w:color w:val="7F7F7F" w:themeColor="text1" w:themeTint="80"/>
          <w:sz w:val="26"/>
          <w:szCs w:val="26"/>
        </w:rPr>
        <w:t>. .</w:t>
      </w:r>
    </w:p>
    <w:p w:rsidR="009F75BC" w:rsidRPr="002C4A64" w:rsidRDefault="009F75BC" w:rsidP="00713569">
      <w:pPr>
        <w:ind w:firstLine="708"/>
        <w:jc w:val="both"/>
        <w:rPr>
          <w:rFonts w:ascii="Calibri" w:hAnsi="Calibri"/>
          <w:color w:val="7F7F7F" w:themeColor="text1" w:themeTint="80"/>
          <w:sz w:val="26"/>
          <w:szCs w:val="26"/>
        </w:rPr>
      </w:pPr>
    </w:p>
    <w:p w:rsidR="00591CB1" w:rsidRPr="002C4A64" w:rsidRDefault="00591CB1" w:rsidP="00591CB1">
      <w:pPr>
        <w:pStyle w:val="Textoindependiente"/>
        <w:ind w:firstLine="708"/>
        <w:rPr>
          <w:rFonts w:ascii="Calibri" w:hAnsi="Calibri"/>
          <w:color w:val="7F7F7F" w:themeColor="text1" w:themeTint="80"/>
          <w:sz w:val="26"/>
        </w:rPr>
      </w:pPr>
      <w:r w:rsidRPr="002C4A64">
        <w:rPr>
          <w:rFonts w:ascii="Calibri" w:hAnsi="Calibri"/>
          <w:b/>
          <w:bCs/>
          <w:i/>
          <w:iCs/>
          <w:color w:val="7F7F7F" w:themeColor="text1" w:themeTint="80"/>
          <w:sz w:val="26"/>
          <w:szCs w:val="26"/>
        </w:rPr>
        <w:t xml:space="preserve">SEXTO.- </w:t>
      </w:r>
      <w:r w:rsidRPr="002C4A64">
        <w:rPr>
          <w:rFonts w:ascii="Calibri" w:hAnsi="Calibri"/>
          <w:color w:val="7F7F7F" w:themeColor="text1" w:themeTint="80"/>
          <w:sz w:val="26"/>
        </w:rPr>
        <w:t xml:space="preserve">No existiendo impedimento legal, </w:t>
      </w:r>
      <w:r w:rsidRPr="002C4A64">
        <w:rPr>
          <w:rFonts w:ascii="Calibri" w:hAnsi="Calibri" w:cs="Arial"/>
          <w:color w:val="7F7F7F" w:themeColor="text1" w:themeTint="80"/>
          <w:sz w:val="26"/>
          <w:szCs w:val="26"/>
        </w:rPr>
        <w:t xml:space="preserve">se procede </w:t>
      </w:r>
      <w:r w:rsidRPr="002C4A64">
        <w:rPr>
          <w:rFonts w:ascii="Calibri" w:hAnsi="Calibri"/>
          <w:color w:val="7F7F7F" w:themeColor="text1" w:themeTint="80"/>
          <w:sz w:val="26"/>
        </w:rPr>
        <w:t>a analizar los conceptos de impugnación expresados por la parte actora</w:t>
      </w:r>
      <w:r w:rsidRPr="002C4A64">
        <w:rPr>
          <w:rFonts w:ascii="Calibri" w:hAnsi="Calibri"/>
          <w:iCs/>
          <w:color w:val="7F7F7F" w:themeColor="text1" w:themeTint="80"/>
          <w:sz w:val="26"/>
        </w:rPr>
        <w:t>;</w:t>
      </w:r>
      <w:r w:rsidRPr="002C4A64">
        <w:rPr>
          <w:rFonts w:ascii="Calibri" w:hAnsi="Calibri"/>
          <w:color w:val="7F7F7F" w:themeColor="text1" w:themeTint="80"/>
          <w:sz w:val="26"/>
        </w:rPr>
        <w:t xml:space="preserve"> señalando </w:t>
      </w:r>
      <w:r w:rsidRPr="002C4A64">
        <w:rPr>
          <w:rFonts w:ascii="Calibri" w:hAnsi="Calibri"/>
          <w:color w:val="7F7F7F" w:themeColor="text1" w:themeTint="80"/>
          <w:sz w:val="26"/>
        </w:rPr>
        <w:lastRenderedPageBreak/>
        <w:t xml:space="preserve">previamente que este Juzgador no advierte incompetencia de las autoridades señaladas como demandadas, para emitir los actos impugnados. . . . . . . . . . . . . . . </w:t>
      </w:r>
    </w:p>
    <w:p w:rsidR="00591CB1" w:rsidRPr="00083F34" w:rsidRDefault="00591CB1" w:rsidP="00591CB1">
      <w:pPr>
        <w:pStyle w:val="Sangra3detindependiente"/>
        <w:jc w:val="both"/>
        <w:rPr>
          <w:rFonts w:ascii="Calibri" w:hAnsi="Calibri"/>
          <w:color w:val="7F7F7F" w:themeColor="text1" w:themeTint="80"/>
          <w:sz w:val="20"/>
          <w:szCs w:val="20"/>
        </w:rPr>
      </w:pPr>
    </w:p>
    <w:p w:rsidR="00591CB1" w:rsidRPr="002C4A64" w:rsidRDefault="00591CB1" w:rsidP="00591CB1">
      <w:pPr>
        <w:pStyle w:val="Sangradetextonormal"/>
        <w:rPr>
          <w:bCs/>
          <w:iCs/>
          <w:color w:val="7F7F7F" w:themeColor="text1" w:themeTint="80"/>
        </w:rPr>
      </w:pPr>
      <w:r w:rsidRPr="002C4A64">
        <w:rPr>
          <w:rFonts w:cs="Calibri"/>
          <w:color w:val="7F7F7F" w:themeColor="text1" w:themeTint="80"/>
        </w:rPr>
        <w:t xml:space="preserve">Asimismo, para este Juzgador debe destacarse que en concordancia con los principios de congruencia y exhaustividad que deben regir en toda sentencia y aplicando el principio de mayor consecuencia anulatoria; por lo que de manera primordial, procederá al análisis del concepto de impugnación orientado a declarar la nulidad total del acto impugnado, ya que de resultar fundado se producirá un mayor beneficio jurídico para el justiciable, pues se eliminarán en su totalidad los efectos del acto combatido. . . . . . . . . . . . . . . . . . . . . . . . . . . . </w:t>
      </w:r>
      <w:r w:rsidR="00713569" w:rsidRPr="002C4A64">
        <w:rPr>
          <w:rFonts w:cs="Calibri"/>
          <w:color w:val="7F7F7F" w:themeColor="text1" w:themeTint="80"/>
        </w:rPr>
        <w:t>. . . .</w:t>
      </w:r>
      <w:r w:rsidR="00083F34">
        <w:rPr>
          <w:rFonts w:cs="Calibri"/>
          <w:color w:val="7F7F7F" w:themeColor="text1" w:themeTint="80"/>
        </w:rPr>
        <w:t xml:space="preserve"> . </w:t>
      </w:r>
    </w:p>
    <w:p w:rsidR="00591CB1" w:rsidRPr="00083F34" w:rsidRDefault="00591CB1" w:rsidP="00591CB1">
      <w:pPr>
        <w:pStyle w:val="Sangra3detindependiente"/>
        <w:jc w:val="both"/>
        <w:rPr>
          <w:rFonts w:ascii="Calibri" w:hAnsi="Calibri"/>
          <w:color w:val="7F7F7F" w:themeColor="text1" w:themeTint="80"/>
          <w:sz w:val="20"/>
          <w:szCs w:val="20"/>
        </w:rPr>
      </w:pPr>
    </w:p>
    <w:p w:rsidR="00591CB1" w:rsidRPr="002C4A64" w:rsidRDefault="00591CB1" w:rsidP="00591CB1">
      <w:pPr>
        <w:pStyle w:val="Sangra3detindependiente"/>
        <w:ind w:left="0" w:firstLine="720"/>
        <w:jc w:val="both"/>
        <w:rPr>
          <w:rFonts w:ascii="Calibri" w:hAnsi="Calibri"/>
          <w:color w:val="7F7F7F" w:themeColor="text1" w:themeTint="80"/>
          <w:sz w:val="26"/>
          <w:szCs w:val="26"/>
        </w:rPr>
      </w:pPr>
      <w:r w:rsidRPr="002C4A64">
        <w:rPr>
          <w:rFonts w:ascii="Calibri" w:hAnsi="Calibri"/>
          <w:color w:val="7F7F7F" w:themeColor="text1" w:themeTint="80"/>
          <w:sz w:val="26"/>
          <w:szCs w:val="26"/>
        </w:rPr>
        <w:t xml:space="preserve">Así pues, quien resuelve se avocará al estudio del concepto de impugnación esgrimido por la parte actora que considera trascendental para el sentido de la presente sentencia, como lo es el que señala como </w:t>
      </w:r>
      <w:r w:rsidRPr="002C4A64">
        <w:rPr>
          <w:rFonts w:ascii="Calibri" w:hAnsi="Calibri"/>
          <w:b/>
          <w:color w:val="7F7F7F" w:themeColor="text1" w:themeTint="80"/>
          <w:sz w:val="26"/>
          <w:szCs w:val="26"/>
        </w:rPr>
        <w:t>primer</w:t>
      </w:r>
      <w:r w:rsidRPr="002C4A64">
        <w:rPr>
          <w:rFonts w:ascii="Calibri" w:hAnsi="Calibri"/>
          <w:b/>
          <w:bCs/>
          <w:color w:val="7F7F7F" w:themeColor="text1" w:themeTint="80"/>
          <w:sz w:val="26"/>
          <w:szCs w:val="26"/>
        </w:rPr>
        <w:t>o</w:t>
      </w:r>
      <w:r w:rsidR="00083F34">
        <w:rPr>
          <w:rFonts w:ascii="Calibri" w:hAnsi="Calibri"/>
          <w:b/>
          <w:bCs/>
          <w:color w:val="7F7F7F" w:themeColor="text1" w:themeTint="80"/>
          <w:sz w:val="26"/>
          <w:szCs w:val="26"/>
        </w:rPr>
        <w:t>,</w:t>
      </w:r>
      <w:r w:rsidR="00805649">
        <w:rPr>
          <w:rFonts w:ascii="Calibri" w:hAnsi="Calibri"/>
          <w:b/>
          <w:bCs/>
          <w:color w:val="7F7F7F" w:themeColor="text1" w:themeTint="80"/>
          <w:sz w:val="26"/>
          <w:szCs w:val="26"/>
        </w:rPr>
        <w:t xml:space="preserve"> </w:t>
      </w:r>
      <w:r w:rsidR="00083F34">
        <w:rPr>
          <w:rFonts w:ascii="Calibri" w:hAnsi="Calibri"/>
          <w:b/>
          <w:bCs/>
          <w:color w:val="7F7F7F" w:themeColor="text1" w:themeTint="80"/>
          <w:sz w:val="26"/>
          <w:szCs w:val="26"/>
        </w:rPr>
        <w:t>d</w:t>
      </w:r>
      <w:r w:rsidR="00805649" w:rsidRPr="00083F34">
        <w:rPr>
          <w:rFonts w:ascii="Calibri" w:hAnsi="Calibri"/>
          <w:bCs/>
          <w:color w:val="7F7F7F" w:themeColor="text1" w:themeTint="80"/>
          <w:sz w:val="26"/>
          <w:szCs w:val="26"/>
        </w:rPr>
        <w:t>el escrito inicial de demanda</w:t>
      </w:r>
      <w:r w:rsidRPr="00083F34">
        <w:rPr>
          <w:rFonts w:ascii="Calibri" w:hAnsi="Calibri"/>
          <w:bCs/>
          <w:color w:val="7F7F7F" w:themeColor="text1" w:themeTint="80"/>
          <w:sz w:val="26"/>
          <w:szCs w:val="26"/>
        </w:rPr>
        <w:t xml:space="preserve">; </w:t>
      </w:r>
      <w:r w:rsidRPr="002C4A64">
        <w:rPr>
          <w:rFonts w:ascii="Calibri" w:hAnsi="Calibri"/>
          <w:color w:val="7F7F7F" w:themeColor="text1" w:themeTint="80"/>
          <w:sz w:val="26"/>
          <w:szCs w:val="26"/>
        </w:rPr>
        <w:t>sin necesidad de transcribirlo, así como tampoco los restantes; sirviendo de apoyo para ello, el criterio sostenido por un Tribunal Colegiado de Circuito del Poder Judicial de la Federación, en la siguiente jurisprudencia: . . . . . . . . . . . . . . . . . . . .</w:t>
      </w:r>
      <w:r w:rsidR="00341BD2" w:rsidRPr="002C4A64">
        <w:rPr>
          <w:rFonts w:ascii="Calibri" w:hAnsi="Calibri"/>
          <w:color w:val="7F7F7F" w:themeColor="text1" w:themeTint="80"/>
          <w:sz w:val="26"/>
          <w:szCs w:val="26"/>
        </w:rPr>
        <w:t xml:space="preserve"> . . . . . . . . . . . . . </w:t>
      </w:r>
      <w:r w:rsidR="00083F34">
        <w:rPr>
          <w:rFonts w:ascii="Calibri" w:hAnsi="Calibri"/>
          <w:color w:val="7F7F7F" w:themeColor="text1" w:themeTint="80"/>
          <w:sz w:val="26"/>
          <w:szCs w:val="26"/>
        </w:rPr>
        <w:t xml:space="preserve">. . . . . . . . . . . . . . . . . . . . . . . </w:t>
      </w:r>
    </w:p>
    <w:p w:rsidR="00341BD2" w:rsidRPr="00083F34" w:rsidRDefault="00341BD2" w:rsidP="00591CB1">
      <w:pPr>
        <w:pStyle w:val="Sangra3detindependiente"/>
        <w:ind w:left="0" w:firstLine="720"/>
        <w:jc w:val="both"/>
        <w:rPr>
          <w:rFonts w:ascii="Calibri" w:hAnsi="Calibri"/>
          <w:color w:val="7F7F7F" w:themeColor="text1" w:themeTint="80"/>
          <w:sz w:val="20"/>
          <w:szCs w:val="20"/>
        </w:rPr>
      </w:pPr>
    </w:p>
    <w:p w:rsidR="00591CB1" w:rsidRPr="002C4A64" w:rsidRDefault="00591CB1" w:rsidP="00591CB1">
      <w:pPr>
        <w:ind w:firstLine="708"/>
        <w:jc w:val="both"/>
        <w:rPr>
          <w:rFonts w:ascii="Calibri" w:hAnsi="Calibri"/>
          <w:bCs/>
          <w:iCs/>
          <w:color w:val="7F7F7F" w:themeColor="text1" w:themeTint="80"/>
          <w:sz w:val="26"/>
          <w:szCs w:val="26"/>
        </w:rPr>
      </w:pPr>
      <w:r w:rsidRPr="002C4A64">
        <w:rPr>
          <w:rFonts w:ascii="Calibri" w:hAnsi="Calibri"/>
          <w:b/>
          <w:bCs/>
          <w:i/>
          <w:color w:val="7F7F7F" w:themeColor="text1" w:themeTint="80"/>
          <w:sz w:val="26"/>
          <w:szCs w:val="26"/>
        </w:rPr>
        <w:t xml:space="preserve">“CONCEPTOS DE VIOLACIÓN. EL JUEZ NO ESTÁ OBLIGADO A </w:t>
      </w:r>
      <w:proofErr w:type="spellStart"/>
      <w:r w:rsidRPr="002C4A64">
        <w:rPr>
          <w:rFonts w:ascii="Calibri" w:hAnsi="Calibri"/>
          <w:b/>
          <w:bCs/>
          <w:i/>
          <w:color w:val="7F7F7F" w:themeColor="text1" w:themeTint="80"/>
          <w:sz w:val="26"/>
          <w:szCs w:val="26"/>
        </w:rPr>
        <w:t>TRANSCRIBIRLOS.</w:t>
      </w:r>
      <w:r w:rsidRPr="002C4A64">
        <w:rPr>
          <w:rFonts w:ascii="Calibri" w:hAnsi="Calibri"/>
          <w:bCs/>
          <w:i/>
          <w:color w:val="7F7F7F" w:themeColor="text1" w:themeTint="80"/>
          <w:sz w:val="26"/>
          <w:szCs w:val="26"/>
        </w:rPr>
        <w:t>El</w:t>
      </w:r>
      <w:proofErr w:type="spellEnd"/>
      <w:r w:rsidRPr="002C4A64">
        <w:rPr>
          <w:rFonts w:ascii="Calibri" w:hAnsi="Calibri"/>
          <w:bCs/>
          <w:i/>
          <w:color w:val="7F7F7F" w:themeColor="text1" w:themeTint="80"/>
          <w:sz w:val="26"/>
          <w:szCs w:val="26"/>
        </w:rPr>
        <w:t xml:space="preserve">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00ED6191" w:rsidRPr="002C4A64">
        <w:rPr>
          <w:rFonts w:ascii="Calibri" w:hAnsi="Calibri"/>
          <w:bCs/>
          <w:i/>
          <w:color w:val="7F7F7F" w:themeColor="text1" w:themeTint="80"/>
          <w:sz w:val="26"/>
          <w:szCs w:val="26"/>
        </w:rPr>
        <w:t xml:space="preserve"> </w:t>
      </w:r>
      <w:r w:rsidRPr="002C4A64">
        <w:rPr>
          <w:rFonts w:ascii="Calibri" w:hAnsi="Calibri"/>
          <w:bCs/>
          <w:iCs/>
          <w:color w:val="7F7F7F" w:themeColor="text1" w:themeTint="80"/>
          <w:sz w:val="22"/>
          <w:szCs w:val="26"/>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2C4A64">
        <w:rPr>
          <w:rFonts w:ascii="Calibri" w:hAnsi="Calibri"/>
          <w:bCs/>
          <w:iCs/>
          <w:color w:val="7F7F7F" w:themeColor="text1" w:themeTint="80"/>
          <w:sz w:val="26"/>
          <w:szCs w:val="26"/>
        </w:rPr>
        <w:t xml:space="preserve">. </w:t>
      </w:r>
      <w:r w:rsidR="00083F34">
        <w:rPr>
          <w:rFonts w:ascii="Calibri" w:hAnsi="Calibri"/>
          <w:bCs/>
          <w:iCs/>
          <w:color w:val="7F7F7F" w:themeColor="text1" w:themeTint="80"/>
          <w:sz w:val="26"/>
          <w:szCs w:val="26"/>
        </w:rPr>
        <w:t xml:space="preserve">. . . . . . . . . . . . . . . </w:t>
      </w:r>
    </w:p>
    <w:p w:rsidR="00591CB1" w:rsidRPr="002C4A64" w:rsidRDefault="00591CB1" w:rsidP="00591CB1">
      <w:pPr>
        <w:pStyle w:val="Sangra3detindependiente"/>
        <w:ind w:left="0" w:firstLine="708"/>
        <w:jc w:val="both"/>
        <w:rPr>
          <w:rFonts w:ascii="Calibri" w:hAnsi="Calibri"/>
          <w:color w:val="7F7F7F" w:themeColor="text1" w:themeTint="80"/>
          <w:sz w:val="22"/>
          <w:szCs w:val="22"/>
        </w:rPr>
      </w:pPr>
    </w:p>
    <w:p w:rsidR="00591CB1" w:rsidRPr="002C4A64" w:rsidRDefault="00591CB1" w:rsidP="00591CB1">
      <w:pPr>
        <w:pStyle w:val="Sangra3detindependiente"/>
        <w:ind w:left="0" w:firstLine="708"/>
        <w:jc w:val="both"/>
        <w:rPr>
          <w:rFonts w:ascii="Calibri" w:hAnsi="Calibri"/>
          <w:color w:val="7F7F7F" w:themeColor="text1" w:themeTint="80"/>
          <w:sz w:val="26"/>
          <w:szCs w:val="26"/>
        </w:rPr>
      </w:pPr>
      <w:r w:rsidRPr="002C4A64">
        <w:rPr>
          <w:rFonts w:ascii="Calibri" w:hAnsi="Calibri"/>
          <w:color w:val="7F7F7F" w:themeColor="text1" w:themeTint="80"/>
          <w:sz w:val="26"/>
          <w:szCs w:val="26"/>
        </w:rPr>
        <w:t xml:space="preserve">Así las cosas, en el </w:t>
      </w:r>
      <w:r w:rsidRPr="002C4A64">
        <w:rPr>
          <w:rFonts w:ascii="Calibri" w:hAnsi="Calibri"/>
          <w:b/>
          <w:bCs/>
          <w:color w:val="7F7F7F" w:themeColor="text1" w:themeTint="80"/>
          <w:sz w:val="26"/>
          <w:szCs w:val="26"/>
        </w:rPr>
        <w:t>primer</w:t>
      </w:r>
      <w:r w:rsidRPr="002C4A64">
        <w:rPr>
          <w:rFonts w:ascii="Calibri" w:hAnsi="Calibri"/>
          <w:color w:val="7F7F7F" w:themeColor="text1" w:themeTint="80"/>
          <w:sz w:val="26"/>
          <w:szCs w:val="26"/>
        </w:rPr>
        <w:t xml:space="preserve"> concepto de impugnación, expresado </w:t>
      </w:r>
      <w:r w:rsidR="004A3DB5" w:rsidRPr="002C4A64">
        <w:rPr>
          <w:rFonts w:ascii="Calibri" w:hAnsi="Calibri"/>
          <w:color w:val="7F7F7F" w:themeColor="text1" w:themeTint="80"/>
          <w:sz w:val="26"/>
          <w:szCs w:val="26"/>
        </w:rPr>
        <w:t>en la demanda</w:t>
      </w:r>
      <w:r w:rsidRPr="002C4A64">
        <w:rPr>
          <w:rFonts w:ascii="Calibri" w:hAnsi="Calibri"/>
          <w:color w:val="7F7F7F" w:themeColor="text1" w:themeTint="80"/>
          <w:sz w:val="26"/>
          <w:szCs w:val="26"/>
        </w:rPr>
        <w:t>, el actor expuso: . . . . . . . . . . . . . . . . . . . . . . . . . . . . . . . . . . . . . . . . . . . . . .</w:t>
      </w:r>
      <w:r w:rsidR="00083F34">
        <w:rPr>
          <w:rFonts w:ascii="Calibri" w:hAnsi="Calibri"/>
          <w:color w:val="7F7F7F" w:themeColor="text1" w:themeTint="80"/>
          <w:sz w:val="26"/>
          <w:szCs w:val="26"/>
        </w:rPr>
        <w:t xml:space="preserve"> </w:t>
      </w:r>
    </w:p>
    <w:p w:rsidR="00591CB1" w:rsidRPr="002C4A64" w:rsidRDefault="00591CB1" w:rsidP="00591CB1">
      <w:pPr>
        <w:rPr>
          <w:color w:val="7F7F7F" w:themeColor="text1" w:themeTint="80"/>
        </w:rPr>
      </w:pPr>
    </w:p>
    <w:p w:rsidR="00ED6191" w:rsidRPr="00805649" w:rsidRDefault="00591CB1" w:rsidP="00805649">
      <w:pPr>
        <w:pStyle w:val="Sangra3detindependiente"/>
        <w:ind w:left="0" w:firstLine="708"/>
        <w:jc w:val="both"/>
        <w:rPr>
          <w:rFonts w:ascii="Calibri" w:hAnsi="Calibri"/>
          <w:i/>
          <w:color w:val="7F7F7F" w:themeColor="text1" w:themeTint="80"/>
          <w:sz w:val="26"/>
          <w:szCs w:val="26"/>
        </w:rPr>
      </w:pPr>
      <w:r w:rsidRPr="002C4A64">
        <w:rPr>
          <w:rFonts w:ascii="Calibri" w:hAnsi="Calibri"/>
          <w:b/>
          <w:i/>
          <w:color w:val="7F7F7F" w:themeColor="text1" w:themeTint="80"/>
          <w:sz w:val="26"/>
          <w:szCs w:val="26"/>
        </w:rPr>
        <w:t>“Primero.-</w:t>
      </w:r>
      <w:r w:rsidR="00083F34">
        <w:rPr>
          <w:rFonts w:ascii="Calibri" w:hAnsi="Calibri"/>
          <w:b/>
          <w:i/>
          <w:color w:val="7F7F7F" w:themeColor="text1" w:themeTint="80"/>
          <w:sz w:val="26"/>
          <w:szCs w:val="26"/>
        </w:rPr>
        <w:t xml:space="preserve"> </w:t>
      </w:r>
      <w:r w:rsidRPr="002C4A64">
        <w:rPr>
          <w:rFonts w:ascii="Calibri" w:hAnsi="Calibri"/>
          <w:i/>
          <w:color w:val="7F7F7F" w:themeColor="text1" w:themeTint="80"/>
          <w:sz w:val="26"/>
          <w:szCs w:val="26"/>
        </w:rPr>
        <w:t>La</w:t>
      </w:r>
      <w:r w:rsidR="009B1954">
        <w:rPr>
          <w:rFonts w:ascii="Calibri" w:hAnsi="Calibri"/>
          <w:i/>
          <w:color w:val="7F7F7F" w:themeColor="text1" w:themeTint="80"/>
          <w:sz w:val="26"/>
          <w:szCs w:val="26"/>
        </w:rPr>
        <w:t xml:space="preserve"> resolución que se reclama….v</w:t>
      </w:r>
      <w:r w:rsidR="00ED6191" w:rsidRPr="002C4A64">
        <w:rPr>
          <w:rFonts w:ascii="Calibri" w:hAnsi="Calibri"/>
          <w:i/>
          <w:color w:val="7F7F7F" w:themeColor="text1" w:themeTint="80"/>
          <w:sz w:val="26"/>
          <w:szCs w:val="26"/>
        </w:rPr>
        <w:t xml:space="preserve">ulnera en perjuicio de mi representado la garantía de legalidad y seguridad jurídica tutelada por el artículo 16 constitucional…” </w:t>
      </w:r>
      <w:r w:rsidR="00ED6191" w:rsidRPr="002C4A64">
        <w:rPr>
          <w:rFonts w:ascii="Calibri" w:hAnsi="Calibri"/>
          <w:color w:val="7F7F7F" w:themeColor="text1" w:themeTint="80"/>
          <w:sz w:val="26"/>
          <w:szCs w:val="26"/>
        </w:rPr>
        <w:t>Continuando en un posterior párrafo:</w:t>
      </w:r>
      <w:r w:rsidR="00ED6191" w:rsidRPr="002C4A64">
        <w:rPr>
          <w:rFonts w:ascii="Calibri" w:hAnsi="Calibri"/>
          <w:i/>
          <w:color w:val="7F7F7F" w:themeColor="text1" w:themeTint="80"/>
          <w:sz w:val="26"/>
          <w:szCs w:val="26"/>
        </w:rPr>
        <w:t xml:space="preserve"> “En el presente caso para la realización del avalúo que se consigna en el Estado de cuenta, se debió de haber efectuado mediante una orden de valuación… nunca se hizo de mi conocimiento</w:t>
      </w:r>
      <w:r w:rsidRPr="002C4A64">
        <w:rPr>
          <w:rFonts w:ascii="Calibri" w:hAnsi="Calibri"/>
          <w:i/>
          <w:color w:val="7F7F7F" w:themeColor="text1" w:themeTint="80"/>
          <w:sz w:val="26"/>
          <w:szCs w:val="26"/>
        </w:rPr>
        <w:t>...”</w:t>
      </w:r>
      <w:r w:rsidR="00805649">
        <w:rPr>
          <w:rFonts w:ascii="Calibri" w:hAnsi="Calibri"/>
          <w:i/>
          <w:color w:val="7F7F7F" w:themeColor="text1" w:themeTint="80"/>
          <w:sz w:val="26"/>
          <w:szCs w:val="26"/>
        </w:rPr>
        <w:t xml:space="preserve">; </w:t>
      </w:r>
      <w:r w:rsidR="00805649">
        <w:rPr>
          <w:rFonts w:asciiTheme="minorHAnsi" w:hAnsiTheme="minorHAnsi"/>
          <w:color w:val="7F7F7F" w:themeColor="text1" w:themeTint="80"/>
          <w:sz w:val="26"/>
          <w:szCs w:val="26"/>
        </w:rPr>
        <w:t>t</w:t>
      </w:r>
      <w:r w:rsidR="00ED6191" w:rsidRPr="002C4A64">
        <w:rPr>
          <w:rFonts w:asciiTheme="minorHAnsi" w:hAnsiTheme="minorHAnsi"/>
          <w:color w:val="7F7F7F" w:themeColor="text1" w:themeTint="80"/>
          <w:sz w:val="26"/>
          <w:szCs w:val="26"/>
        </w:rPr>
        <w:t>ranscribiendo</w:t>
      </w:r>
      <w:r w:rsidR="00805649">
        <w:rPr>
          <w:rFonts w:asciiTheme="minorHAnsi" w:hAnsiTheme="minorHAnsi"/>
          <w:color w:val="7F7F7F" w:themeColor="text1" w:themeTint="80"/>
          <w:sz w:val="26"/>
          <w:szCs w:val="26"/>
        </w:rPr>
        <w:t xml:space="preserve">, al efecto, </w:t>
      </w:r>
      <w:r w:rsidR="00ED6191" w:rsidRPr="002C4A64">
        <w:rPr>
          <w:rFonts w:asciiTheme="minorHAnsi" w:hAnsiTheme="minorHAnsi"/>
          <w:color w:val="7F7F7F" w:themeColor="text1" w:themeTint="80"/>
          <w:sz w:val="26"/>
          <w:szCs w:val="26"/>
        </w:rPr>
        <w:t>el contenido del artículo 176 de la Ley de Hacienda para los Municipios del Estado de Guanajuato, al que considera vulner</w:t>
      </w:r>
      <w:r w:rsidR="00E561AE">
        <w:rPr>
          <w:rFonts w:asciiTheme="minorHAnsi" w:hAnsiTheme="minorHAnsi"/>
          <w:color w:val="7F7F7F" w:themeColor="text1" w:themeTint="80"/>
          <w:sz w:val="26"/>
          <w:szCs w:val="26"/>
        </w:rPr>
        <w:t>ado. . . . . . . . . . . . . . . . . . . . . . . . . . . . . . . . . . . . . . . . . . . . . . . . . . . . . . . . . . . . .</w:t>
      </w:r>
    </w:p>
    <w:p w:rsidR="00ED6191" w:rsidRPr="002C4A64" w:rsidRDefault="00ED6191" w:rsidP="00591CB1">
      <w:pPr>
        <w:pStyle w:val="Sangra3detindependiente"/>
        <w:ind w:left="0" w:firstLine="708"/>
        <w:jc w:val="both"/>
        <w:rPr>
          <w:rFonts w:ascii="Calibri" w:hAnsi="Calibri"/>
          <w:color w:val="7F7F7F" w:themeColor="text1" w:themeTint="80"/>
          <w:sz w:val="26"/>
          <w:szCs w:val="26"/>
        </w:rPr>
      </w:pPr>
    </w:p>
    <w:p w:rsidR="00591CB1" w:rsidRPr="002C4A64" w:rsidRDefault="00591CB1" w:rsidP="00591CB1">
      <w:pPr>
        <w:pStyle w:val="Sangra3detindependiente"/>
        <w:ind w:left="0" w:firstLine="708"/>
        <w:jc w:val="both"/>
        <w:rPr>
          <w:rFonts w:ascii="Calibri" w:hAnsi="Calibri"/>
          <w:color w:val="7F7F7F" w:themeColor="text1" w:themeTint="80"/>
          <w:sz w:val="26"/>
          <w:szCs w:val="26"/>
        </w:rPr>
      </w:pPr>
      <w:r w:rsidRPr="002C4A64">
        <w:rPr>
          <w:rFonts w:ascii="Calibri" w:hAnsi="Calibri"/>
          <w:color w:val="7F7F7F" w:themeColor="text1" w:themeTint="80"/>
          <w:sz w:val="26"/>
          <w:szCs w:val="26"/>
        </w:rPr>
        <w:t>A lo anterior, las autoridades demandadas aludieron que</w:t>
      </w:r>
      <w:r w:rsidR="00ED6191" w:rsidRPr="002C4A64">
        <w:rPr>
          <w:rFonts w:ascii="Calibri" w:hAnsi="Calibri"/>
          <w:color w:val="7F7F7F" w:themeColor="text1" w:themeTint="80"/>
          <w:sz w:val="26"/>
          <w:szCs w:val="26"/>
        </w:rPr>
        <w:t xml:space="preserve"> no se le causa perjuicio alguno al accionante; sino que los actos fueron ejecutados en estricta observancia a los ordenamientos legales aplicables</w:t>
      </w:r>
      <w:r w:rsidRPr="002C4A64">
        <w:rPr>
          <w:rFonts w:ascii="Calibri" w:hAnsi="Calibri"/>
          <w:color w:val="7F7F7F" w:themeColor="text1" w:themeTint="80"/>
          <w:sz w:val="26"/>
          <w:szCs w:val="26"/>
        </w:rPr>
        <w:t xml:space="preserve">. . . . . . . . . . . . . . </w:t>
      </w:r>
      <w:r w:rsidR="00ED6191" w:rsidRPr="002C4A64">
        <w:rPr>
          <w:rFonts w:ascii="Calibri" w:hAnsi="Calibri"/>
          <w:color w:val="7F7F7F" w:themeColor="text1" w:themeTint="80"/>
          <w:sz w:val="26"/>
          <w:szCs w:val="26"/>
        </w:rPr>
        <w:t xml:space="preserve">. . . . . . . . . . . . </w:t>
      </w:r>
    </w:p>
    <w:p w:rsidR="00591CB1" w:rsidRPr="002C4A64" w:rsidRDefault="00591CB1" w:rsidP="00591CB1">
      <w:pPr>
        <w:pStyle w:val="NormalWeb"/>
        <w:spacing w:before="0" w:beforeAutospacing="0" w:after="0" w:afterAutospacing="0"/>
        <w:rPr>
          <w:rFonts w:ascii="Calibri" w:hAnsi="Calibri"/>
          <w:color w:val="7F7F7F" w:themeColor="text1" w:themeTint="80"/>
          <w:sz w:val="22"/>
        </w:rPr>
      </w:pPr>
    </w:p>
    <w:p w:rsidR="00E21D75" w:rsidRDefault="00591CB1" w:rsidP="00591CB1">
      <w:pPr>
        <w:pStyle w:val="Textoindependiente"/>
        <w:ind w:firstLine="708"/>
        <w:rPr>
          <w:rFonts w:ascii="Calibri" w:hAnsi="Calibri" w:cs="Arial"/>
          <w:color w:val="7F7F7F" w:themeColor="text1" w:themeTint="80"/>
          <w:sz w:val="26"/>
          <w:szCs w:val="26"/>
        </w:rPr>
      </w:pPr>
      <w:r w:rsidRPr="002C4A64">
        <w:rPr>
          <w:rFonts w:ascii="Calibri" w:hAnsi="Calibri" w:cs="Arial"/>
          <w:color w:val="7F7F7F" w:themeColor="text1" w:themeTint="80"/>
          <w:sz w:val="26"/>
          <w:szCs w:val="26"/>
        </w:rPr>
        <w:t xml:space="preserve">Analizados que son los actos impugnados, este Juzgador considera que es </w:t>
      </w:r>
      <w:r w:rsidRPr="002C4A64">
        <w:rPr>
          <w:rFonts w:ascii="Calibri" w:hAnsi="Calibri" w:cs="Arial"/>
          <w:b/>
          <w:bCs/>
          <w:color w:val="7F7F7F" w:themeColor="text1" w:themeTint="80"/>
          <w:sz w:val="26"/>
          <w:szCs w:val="26"/>
        </w:rPr>
        <w:t>fundado</w:t>
      </w:r>
      <w:r w:rsidRPr="002C4A64">
        <w:rPr>
          <w:rFonts w:ascii="Calibri" w:hAnsi="Calibri" w:cs="Arial"/>
          <w:color w:val="7F7F7F" w:themeColor="text1" w:themeTint="80"/>
          <w:sz w:val="26"/>
          <w:szCs w:val="26"/>
        </w:rPr>
        <w:t xml:space="preserve"> el concepto de impugnación que se examina; ya que de lo argumentado por las demandadas, de ninguna forma se demuestra la ineficacia de tal </w:t>
      </w:r>
    </w:p>
    <w:p w:rsidR="00E21D75" w:rsidRDefault="00E21D75" w:rsidP="00E21D75">
      <w:pPr>
        <w:pStyle w:val="Textoindependiente"/>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t>Expediente número 416/2013-JN</w:t>
      </w:r>
    </w:p>
    <w:p w:rsidR="00E21D75" w:rsidRDefault="00E21D75" w:rsidP="00591CB1">
      <w:pPr>
        <w:pStyle w:val="Textoindependiente"/>
        <w:ind w:firstLine="708"/>
        <w:rPr>
          <w:rFonts w:ascii="Calibri" w:hAnsi="Calibri" w:cs="Arial"/>
          <w:color w:val="7F7F7F" w:themeColor="text1" w:themeTint="80"/>
          <w:sz w:val="26"/>
          <w:szCs w:val="26"/>
        </w:rPr>
      </w:pPr>
    </w:p>
    <w:p w:rsidR="00591CB1" w:rsidRPr="002C4A64" w:rsidRDefault="00591CB1" w:rsidP="00E21D75">
      <w:pPr>
        <w:pStyle w:val="Textoindependiente"/>
        <w:rPr>
          <w:rFonts w:ascii="Calibri" w:hAnsi="Calibri" w:cs="Arial"/>
          <w:color w:val="7F7F7F" w:themeColor="text1" w:themeTint="80"/>
          <w:sz w:val="26"/>
          <w:szCs w:val="26"/>
        </w:rPr>
      </w:pPr>
      <w:r w:rsidRPr="002C4A64">
        <w:rPr>
          <w:rFonts w:ascii="Calibri" w:hAnsi="Calibri" w:cs="Arial"/>
          <w:color w:val="7F7F7F" w:themeColor="text1" w:themeTint="80"/>
          <w:sz w:val="26"/>
          <w:szCs w:val="26"/>
        </w:rPr>
        <w:t xml:space="preserve">argumento; toda vez que efectivamente como lo hace valer el actor, en el asunto que nos ocupa, sí se vulneró el contenido del artículo 176 de la Ley de Hacienda para los Municipios de Guanajuato, en su primer párrafo, mismo que a la letra establece: . . . . . . . . . . . . . . . . . . . . . . . . . . . . . . . . . . . . . . . . . . . . . . . . . . . . . </w:t>
      </w:r>
      <w:r w:rsidR="00ED6191" w:rsidRPr="002C4A64">
        <w:rPr>
          <w:rFonts w:ascii="Calibri" w:hAnsi="Calibri" w:cs="Arial"/>
          <w:color w:val="7F7F7F" w:themeColor="text1" w:themeTint="80"/>
          <w:sz w:val="26"/>
          <w:szCs w:val="26"/>
        </w:rPr>
        <w:t xml:space="preserve">. . . . . . . </w:t>
      </w:r>
    </w:p>
    <w:p w:rsidR="00591CB1" w:rsidRPr="002C4A64" w:rsidRDefault="00591CB1" w:rsidP="00591CB1">
      <w:pPr>
        <w:pStyle w:val="Textoindependiente"/>
        <w:rPr>
          <w:rFonts w:ascii="Calibri" w:hAnsi="Calibri" w:cs="Arial"/>
          <w:i/>
          <w:iCs/>
          <w:color w:val="7F7F7F" w:themeColor="text1" w:themeTint="80"/>
          <w:sz w:val="26"/>
          <w:szCs w:val="26"/>
        </w:rPr>
      </w:pPr>
    </w:p>
    <w:p w:rsidR="00591CB1" w:rsidRPr="002C4A64" w:rsidRDefault="00591CB1" w:rsidP="00591CB1">
      <w:pPr>
        <w:pStyle w:val="Textoindependiente"/>
        <w:ind w:firstLine="708"/>
        <w:rPr>
          <w:rFonts w:ascii="Calibri" w:hAnsi="Calibri" w:cs="Arial"/>
          <w:i/>
          <w:iCs/>
          <w:color w:val="7F7F7F" w:themeColor="text1" w:themeTint="80"/>
          <w:sz w:val="26"/>
          <w:szCs w:val="26"/>
        </w:rPr>
      </w:pPr>
      <w:r w:rsidRPr="002C4A64">
        <w:rPr>
          <w:rFonts w:ascii="Calibri" w:hAnsi="Calibri" w:cs="Arial"/>
          <w:i/>
          <w:iCs/>
          <w:color w:val="7F7F7F" w:themeColor="text1" w:themeTint="80"/>
          <w:sz w:val="26"/>
          <w:szCs w:val="26"/>
        </w:rPr>
        <w:t xml:space="preserve"> “Artículo 176.- La práctica de todo avalúo deberá ser ordenada por la Tesorería Municipal por escrito en los casos que esta Ley establece y será practicada por los peritos que se designen para este efecto…” . . . . . . . . . . . . . . . .  </w:t>
      </w:r>
    </w:p>
    <w:p w:rsidR="00591CB1" w:rsidRPr="002C4A64" w:rsidRDefault="00591CB1" w:rsidP="00591CB1">
      <w:pPr>
        <w:pStyle w:val="Textoindependiente"/>
        <w:rPr>
          <w:rFonts w:ascii="Calibri" w:hAnsi="Calibri" w:cs="Arial"/>
          <w:i/>
          <w:iCs/>
          <w:color w:val="7F7F7F" w:themeColor="text1" w:themeTint="80"/>
          <w:sz w:val="26"/>
          <w:szCs w:val="26"/>
        </w:rPr>
      </w:pPr>
    </w:p>
    <w:p w:rsidR="00591CB1" w:rsidRPr="002C4A64" w:rsidRDefault="00591CB1" w:rsidP="00591CB1">
      <w:pPr>
        <w:pStyle w:val="Textoindependiente"/>
        <w:ind w:firstLine="708"/>
        <w:rPr>
          <w:rFonts w:ascii="Calibri" w:hAnsi="Calibri" w:cs="Arial"/>
          <w:iCs/>
          <w:color w:val="7F7F7F" w:themeColor="text1" w:themeTint="80"/>
          <w:sz w:val="26"/>
          <w:szCs w:val="26"/>
        </w:rPr>
      </w:pPr>
      <w:r w:rsidRPr="002C4A64">
        <w:rPr>
          <w:rFonts w:ascii="Calibri" w:hAnsi="Calibri" w:cs="Arial"/>
          <w:i/>
          <w:iCs/>
          <w:color w:val="7F7F7F" w:themeColor="text1" w:themeTint="80"/>
          <w:sz w:val="26"/>
          <w:szCs w:val="26"/>
        </w:rPr>
        <w:t>“Los resultados del avalúo y la determinación del impuesto deberán notificarse al contribuyente…</w:t>
      </w:r>
      <w:r w:rsidRPr="002C4A64">
        <w:rPr>
          <w:rFonts w:ascii="Calibri" w:hAnsi="Calibri" w:cs="Arial"/>
          <w:b/>
          <w:i/>
          <w:iCs/>
          <w:color w:val="7F7F7F" w:themeColor="text1" w:themeTint="80"/>
          <w:sz w:val="26"/>
          <w:szCs w:val="26"/>
        </w:rPr>
        <w:t>”</w:t>
      </w:r>
      <w:r w:rsidRPr="002C4A64">
        <w:rPr>
          <w:rFonts w:ascii="Calibri" w:hAnsi="Calibri" w:cs="Arial"/>
          <w:iCs/>
          <w:color w:val="7F7F7F" w:themeColor="text1" w:themeTint="80"/>
          <w:sz w:val="26"/>
          <w:szCs w:val="26"/>
        </w:rPr>
        <w:t xml:space="preserve">. . . . . . . . . . . . . . . . . . . . . . . . . . . . . . . . . . . . . . . . . . . </w:t>
      </w:r>
    </w:p>
    <w:p w:rsidR="00591CB1" w:rsidRPr="002C4A64" w:rsidRDefault="00591CB1" w:rsidP="00591CB1">
      <w:pPr>
        <w:pStyle w:val="Textoindependiente"/>
        <w:ind w:firstLine="708"/>
        <w:rPr>
          <w:rFonts w:ascii="Calibri" w:hAnsi="Calibri" w:cs="Arial"/>
          <w:iCs/>
          <w:color w:val="7F7F7F" w:themeColor="text1" w:themeTint="80"/>
          <w:sz w:val="26"/>
          <w:szCs w:val="26"/>
        </w:rPr>
      </w:pPr>
    </w:p>
    <w:p w:rsidR="00591CB1" w:rsidRPr="002C4A64" w:rsidRDefault="00591CB1" w:rsidP="00ED6191">
      <w:pPr>
        <w:pStyle w:val="Textoindependiente"/>
        <w:ind w:firstLine="708"/>
        <w:rPr>
          <w:rFonts w:ascii="Calibri" w:hAnsi="Calibri" w:cs="Arial"/>
          <w:color w:val="7F7F7F" w:themeColor="text1" w:themeTint="80"/>
          <w:sz w:val="26"/>
          <w:szCs w:val="26"/>
        </w:rPr>
      </w:pPr>
      <w:r w:rsidRPr="002C4A64">
        <w:rPr>
          <w:rFonts w:ascii="Calibri" w:hAnsi="Calibri" w:cs="Arial"/>
          <w:color w:val="7F7F7F" w:themeColor="text1" w:themeTint="80"/>
          <w:sz w:val="26"/>
          <w:szCs w:val="26"/>
        </w:rPr>
        <w:t xml:space="preserve">Dicho precepto tiene relación directa con lo que establece el artículo 168, segundo párrafo, de la Ley de Hacienda antes citada, en donde se consigna que </w:t>
      </w:r>
      <w:r w:rsidR="00E21D75">
        <w:rPr>
          <w:rFonts w:ascii="Calibri" w:hAnsi="Calibri" w:cs="Arial"/>
          <w:color w:val="7F7F7F" w:themeColor="text1" w:themeTint="80"/>
          <w:sz w:val="26"/>
          <w:szCs w:val="26"/>
        </w:rPr>
        <w:t xml:space="preserve">no presentándose alguno de los supuestos señalados, </w:t>
      </w:r>
      <w:r w:rsidRPr="002C4A64">
        <w:rPr>
          <w:rFonts w:ascii="Calibri" w:hAnsi="Calibri" w:cs="Arial"/>
          <w:color w:val="7F7F7F" w:themeColor="text1" w:themeTint="80"/>
          <w:sz w:val="26"/>
          <w:szCs w:val="26"/>
        </w:rPr>
        <w:t>el valor fiscal de un inmueble únicamente podrá ser modificado por avalúo.</w:t>
      </w:r>
      <w:r w:rsidR="00ED6191" w:rsidRPr="002C4A64">
        <w:rPr>
          <w:rFonts w:ascii="Calibri" w:hAnsi="Calibri" w:cs="Arial"/>
          <w:color w:val="7F7F7F" w:themeColor="text1" w:themeTint="80"/>
          <w:sz w:val="26"/>
          <w:szCs w:val="26"/>
        </w:rPr>
        <w:t xml:space="preserve"> </w:t>
      </w:r>
      <w:r w:rsidRPr="002C4A64">
        <w:rPr>
          <w:rFonts w:ascii="Calibri" w:hAnsi="Calibri" w:cs="Arial"/>
          <w:color w:val="7F7F7F" w:themeColor="text1" w:themeTint="80"/>
          <w:sz w:val="26"/>
          <w:szCs w:val="26"/>
        </w:rPr>
        <w:t xml:space="preserve">Avalúo que, de acuerdo al artículo 176 mencionado, debe ser ordenado por escrito por la Tesorería. . . . . . </w:t>
      </w:r>
    </w:p>
    <w:p w:rsidR="00591CB1" w:rsidRPr="002C4A64" w:rsidRDefault="00591CB1" w:rsidP="00591CB1">
      <w:pPr>
        <w:pStyle w:val="Textoindependiente"/>
        <w:rPr>
          <w:rFonts w:ascii="Calibri" w:hAnsi="Calibri" w:cs="Arial"/>
          <w:b/>
          <w:i/>
          <w:iCs/>
          <w:color w:val="7F7F7F" w:themeColor="text1" w:themeTint="80"/>
          <w:sz w:val="22"/>
          <w:szCs w:val="22"/>
        </w:rPr>
      </w:pPr>
    </w:p>
    <w:p w:rsidR="00591CB1" w:rsidRPr="002C4A64" w:rsidRDefault="00591CB1" w:rsidP="00591CB1">
      <w:pPr>
        <w:pStyle w:val="Textoindependiente"/>
        <w:ind w:firstLine="708"/>
        <w:rPr>
          <w:rFonts w:ascii="Calibri" w:hAnsi="Calibri" w:cs="Arial"/>
          <w:color w:val="7F7F7F" w:themeColor="text1" w:themeTint="80"/>
          <w:sz w:val="26"/>
          <w:szCs w:val="26"/>
        </w:rPr>
      </w:pPr>
      <w:r w:rsidRPr="002C4A64">
        <w:rPr>
          <w:rFonts w:ascii="Calibri" w:hAnsi="Calibri" w:cs="Arial"/>
          <w:color w:val="7F7F7F" w:themeColor="text1" w:themeTint="80"/>
          <w:sz w:val="26"/>
          <w:szCs w:val="26"/>
        </w:rPr>
        <w:t xml:space="preserve">Así las cosas, de las constancias que integran la presente causa administrativa, en especial las documentales ofrecidas y admitidas como pruebas a las partes, </w:t>
      </w:r>
      <w:r w:rsidR="003B339B" w:rsidRPr="002C4A64">
        <w:rPr>
          <w:rFonts w:ascii="Calibri" w:hAnsi="Calibri" w:cs="Arial"/>
          <w:color w:val="7F7F7F" w:themeColor="text1" w:themeTint="80"/>
          <w:sz w:val="26"/>
          <w:szCs w:val="26"/>
        </w:rPr>
        <w:t xml:space="preserve">si bien es cierto </w:t>
      </w:r>
      <w:r w:rsidRPr="002C4A64">
        <w:rPr>
          <w:rFonts w:ascii="Calibri" w:hAnsi="Calibri" w:cs="Arial"/>
          <w:color w:val="7F7F7F" w:themeColor="text1" w:themeTint="80"/>
          <w:sz w:val="26"/>
          <w:szCs w:val="26"/>
        </w:rPr>
        <w:t xml:space="preserve">se desprende la existencia de una orden de valuación al </w:t>
      </w:r>
      <w:r w:rsidR="003B339B" w:rsidRPr="002C4A64">
        <w:rPr>
          <w:rFonts w:ascii="Calibri" w:hAnsi="Calibri" w:cs="Arial"/>
          <w:color w:val="7F7F7F" w:themeColor="text1" w:themeTint="80"/>
          <w:sz w:val="26"/>
          <w:szCs w:val="26"/>
        </w:rPr>
        <w:t xml:space="preserve">inmueble ubicado en </w:t>
      </w:r>
      <w:r w:rsidR="003B339B" w:rsidRPr="002C4A64">
        <w:rPr>
          <w:rFonts w:ascii="Calibri" w:hAnsi="Calibri"/>
          <w:color w:val="7F7F7F" w:themeColor="text1" w:themeTint="80"/>
          <w:sz w:val="26"/>
        </w:rPr>
        <w:t xml:space="preserve">calle Río Guadiana con número 202 doscientos dos, de la colonia Lomas de </w:t>
      </w:r>
      <w:proofErr w:type="spellStart"/>
      <w:r w:rsidR="003B339B" w:rsidRPr="002C4A64">
        <w:rPr>
          <w:rFonts w:ascii="Calibri" w:hAnsi="Calibri"/>
          <w:color w:val="7F7F7F" w:themeColor="text1" w:themeTint="80"/>
          <w:sz w:val="26"/>
        </w:rPr>
        <w:t>Arbide</w:t>
      </w:r>
      <w:proofErr w:type="spellEnd"/>
      <w:r w:rsidR="003B339B" w:rsidRPr="002C4A64">
        <w:rPr>
          <w:rFonts w:ascii="Calibri" w:hAnsi="Calibri"/>
          <w:color w:val="7F7F7F" w:themeColor="text1" w:themeTint="80"/>
          <w:sz w:val="26"/>
        </w:rPr>
        <w:t>, de esta ciudad,</w:t>
      </w:r>
      <w:r w:rsidRPr="002C4A64">
        <w:rPr>
          <w:rFonts w:ascii="Calibri" w:hAnsi="Calibri"/>
          <w:color w:val="7F7F7F" w:themeColor="text1" w:themeTint="80"/>
          <w:sz w:val="26"/>
        </w:rPr>
        <w:t xml:space="preserve"> </w:t>
      </w:r>
      <w:r w:rsidR="003B339B" w:rsidRPr="002C4A64">
        <w:rPr>
          <w:rFonts w:ascii="Calibri" w:hAnsi="Calibri"/>
          <w:color w:val="7F7F7F" w:themeColor="text1" w:themeTint="80"/>
          <w:sz w:val="26"/>
        </w:rPr>
        <w:t xml:space="preserve">que es </w:t>
      </w:r>
      <w:r w:rsidRPr="002C4A64">
        <w:rPr>
          <w:rFonts w:ascii="Calibri" w:hAnsi="Calibri" w:cs="Arial"/>
          <w:color w:val="7F7F7F" w:themeColor="text1" w:themeTint="80"/>
          <w:sz w:val="26"/>
          <w:szCs w:val="26"/>
        </w:rPr>
        <w:t xml:space="preserve">propiedad del actor; </w:t>
      </w:r>
      <w:r w:rsidR="00805649" w:rsidRPr="00E21D75">
        <w:rPr>
          <w:rFonts w:ascii="Calibri" w:hAnsi="Calibri" w:cs="Arial"/>
          <w:color w:val="7F7F7F" w:themeColor="text1" w:themeTint="80"/>
          <w:sz w:val="26"/>
          <w:szCs w:val="26"/>
        </w:rPr>
        <w:t xml:space="preserve">cierto es </w:t>
      </w:r>
      <w:r w:rsidR="003B339B" w:rsidRPr="002C4A64">
        <w:rPr>
          <w:rFonts w:ascii="Calibri" w:hAnsi="Calibri" w:cs="Arial"/>
          <w:color w:val="7F7F7F" w:themeColor="text1" w:themeTint="80"/>
          <w:sz w:val="26"/>
          <w:szCs w:val="26"/>
        </w:rPr>
        <w:t xml:space="preserve">también que dicha orden no cumple con lo señalado en el citado artículo 176 de la Ley de Hacienda respectiva, pues dicho dispositivo claramente dispone que </w:t>
      </w:r>
      <w:r w:rsidRPr="002C4A64">
        <w:rPr>
          <w:rFonts w:ascii="Calibri" w:hAnsi="Calibri" w:cs="Arial"/>
          <w:color w:val="7F7F7F" w:themeColor="text1" w:themeTint="80"/>
          <w:sz w:val="26"/>
          <w:szCs w:val="26"/>
        </w:rPr>
        <w:t xml:space="preserve">todo avalúo deberá invariablemente ser ordenado por escrito, por la Tesorería Municipal, </w:t>
      </w:r>
      <w:r w:rsidR="003B339B" w:rsidRPr="002C4A64">
        <w:rPr>
          <w:rFonts w:ascii="Calibri" w:hAnsi="Calibri" w:cs="Arial"/>
          <w:color w:val="7F7F7F" w:themeColor="text1" w:themeTint="80"/>
          <w:sz w:val="26"/>
          <w:szCs w:val="26"/>
        </w:rPr>
        <w:t xml:space="preserve">y </w:t>
      </w:r>
      <w:r w:rsidR="003B339B" w:rsidRPr="002C4A64">
        <w:rPr>
          <w:rFonts w:ascii="Calibri" w:hAnsi="Calibri" w:cs="Arial"/>
          <w:b/>
          <w:color w:val="7F7F7F" w:themeColor="text1" w:themeTint="80"/>
          <w:sz w:val="26"/>
          <w:szCs w:val="26"/>
          <w:u w:val="single"/>
        </w:rPr>
        <w:t>practicado por el perito designado para ese efecto</w:t>
      </w:r>
      <w:r w:rsidR="003B339B" w:rsidRPr="002C4A64">
        <w:rPr>
          <w:rFonts w:ascii="Calibri" w:hAnsi="Calibri" w:cs="Arial"/>
          <w:color w:val="7F7F7F" w:themeColor="text1" w:themeTint="80"/>
          <w:sz w:val="26"/>
          <w:szCs w:val="26"/>
        </w:rPr>
        <w:t xml:space="preserve">; </w:t>
      </w:r>
      <w:r w:rsidRPr="002C4A64">
        <w:rPr>
          <w:rFonts w:ascii="Calibri" w:hAnsi="Calibri" w:cs="Arial"/>
          <w:color w:val="7F7F7F" w:themeColor="text1" w:themeTint="80"/>
          <w:sz w:val="26"/>
          <w:szCs w:val="26"/>
        </w:rPr>
        <w:t xml:space="preserve">lo que, como </w:t>
      </w:r>
      <w:r w:rsidR="003B339B" w:rsidRPr="002C4A64">
        <w:rPr>
          <w:rFonts w:ascii="Calibri" w:hAnsi="Calibri" w:cs="Arial"/>
          <w:color w:val="7F7F7F" w:themeColor="text1" w:themeTint="80"/>
          <w:sz w:val="26"/>
          <w:szCs w:val="26"/>
        </w:rPr>
        <w:t>se advierte de la propia orden de valuación aportada</w:t>
      </w:r>
      <w:r w:rsidRPr="002C4A64">
        <w:rPr>
          <w:rFonts w:ascii="Calibri" w:hAnsi="Calibri" w:cs="Arial"/>
          <w:color w:val="7F7F7F" w:themeColor="text1" w:themeTint="80"/>
          <w:sz w:val="26"/>
          <w:szCs w:val="26"/>
        </w:rPr>
        <w:t>, en la especie no se acreditó</w:t>
      </w:r>
      <w:r w:rsidR="003B339B" w:rsidRPr="002C4A64">
        <w:rPr>
          <w:rFonts w:ascii="Calibri" w:hAnsi="Calibri" w:cs="Arial"/>
          <w:color w:val="7F7F7F" w:themeColor="text1" w:themeTint="80"/>
          <w:sz w:val="26"/>
          <w:szCs w:val="26"/>
        </w:rPr>
        <w:t>, al no contenerse la designación de perito alguno para realizar el avalúo, pues se aprecia en blanco el espacio de la orden reservado para ello</w:t>
      </w:r>
      <w:r w:rsidR="00E21D75">
        <w:rPr>
          <w:rFonts w:ascii="Calibri" w:hAnsi="Calibri" w:cs="Arial"/>
          <w:color w:val="7F7F7F" w:themeColor="text1" w:themeTint="80"/>
          <w:sz w:val="26"/>
          <w:szCs w:val="26"/>
        </w:rPr>
        <w:t xml:space="preserve">. . . . . </w:t>
      </w:r>
    </w:p>
    <w:p w:rsidR="00591CB1" w:rsidRPr="002C4A64" w:rsidRDefault="00591CB1" w:rsidP="00591CB1">
      <w:pPr>
        <w:pStyle w:val="Textoindependiente"/>
        <w:rPr>
          <w:rFonts w:ascii="Calibri" w:hAnsi="Calibri" w:cs="Arial"/>
          <w:color w:val="7F7F7F" w:themeColor="text1" w:themeTint="80"/>
          <w:sz w:val="22"/>
          <w:szCs w:val="22"/>
        </w:rPr>
      </w:pPr>
    </w:p>
    <w:p w:rsidR="0012493C" w:rsidRDefault="00591CB1" w:rsidP="00591CB1">
      <w:pPr>
        <w:pStyle w:val="Textoindependiente"/>
        <w:ind w:firstLine="708"/>
        <w:rPr>
          <w:rFonts w:ascii="Calibri" w:hAnsi="Calibri"/>
          <w:color w:val="7F7F7F" w:themeColor="text1" w:themeTint="80"/>
          <w:sz w:val="26"/>
        </w:rPr>
      </w:pPr>
      <w:r w:rsidRPr="002C4A64">
        <w:rPr>
          <w:rFonts w:ascii="Calibri" w:hAnsi="Calibri" w:cs="Arial"/>
          <w:color w:val="7F7F7F" w:themeColor="text1" w:themeTint="80"/>
          <w:sz w:val="26"/>
          <w:szCs w:val="26"/>
        </w:rPr>
        <w:t xml:space="preserve">Luego entonces, resulta </w:t>
      </w:r>
      <w:r w:rsidRPr="002C4A64">
        <w:rPr>
          <w:rFonts w:ascii="Calibri" w:hAnsi="Calibri" w:cs="Arial"/>
          <w:b/>
          <w:bCs/>
          <w:color w:val="7F7F7F" w:themeColor="text1" w:themeTint="80"/>
          <w:sz w:val="26"/>
          <w:szCs w:val="26"/>
        </w:rPr>
        <w:t>fundado</w:t>
      </w:r>
      <w:r w:rsidRPr="002C4A64">
        <w:rPr>
          <w:rFonts w:ascii="Calibri" w:hAnsi="Calibri" w:cs="Arial"/>
          <w:color w:val="7F7F7F" w:themeColor="text1" w:themeTint="80"/>
          <w:sz w:val="26"/>
          <w:szCs w:val="26"/>
        </w:rPr>
        <w:t xml:space="preserve"> el concepto de impugnación marcado como </w:t>
      </w:r>
      <w:r w:rsidRPr="002C4A64">
        <w:rPr>
          <w:rFonts w:ascii="Calibri" w:hAnsi="Calibri" w:cs="Arial"/>
          <w:b/>
          <w:bCs/>
          <w:color w:val="7F7F7F" w:themeColor="text1" w:themeTint="80"/>
          <w:sz w:val="26"/>
          <w:szCs w:val="26"/>
        </w:rPr>
        <w:t>primero,</w:t>
      </w:r>
      <w:r w:rsidRPr="002C4A64">
        <w:rPr>
          <w:rFonts w:ascii="Calibri" w:hAnsi="Calibri" w:cs="Arial"/>
          <w:color w:val="7F7F7F" w:themeColor="text1" w:themeTint="80"/>
          <w:sz w:val="26"/>
          <w:szCs w:val="26"/>
        </w:rPr>
        <w:t xml:space="preserve"> por existir una omisión de un requisito formal exigido en la ley y un vicio en el procedimiento que para la práctica de todo avalúo se establece en la Ley de Hacienda para los Municipios del Estado de Guanajuato, que sin duda, afecta la defensa del particular, como lo es el hecho de que el avalúo no fue debidamente ordenado por la Tesorería Municipal; por lo que con fundamento en el artículo 302, fracciones II y III del Código de Procedimiento y Justicia Administrativa para el Estado y los Municipios de Guanajuato, se decreta </w:t>
      </w:r>
      <w:r w:rsidRPr="002C4A64">
        <w:rPr>
          <w:rFonts w:ascii="Calibri" w:hAnsi="Calibri" w:cs="Arial"/>
          <w:bCs/>
          <w:color w:val="7F7F7F" w:themeColor="text1" w:themeTint="80"/>
          <w:sz w:val="26"/>
          <w:szCs w:val="26"/>
        </w:rPr>
        <w:t>la</w:t>
      </w:r>
      <w:r w:rsidRPr="002C4A64">
        <w:rPr>
          <w:rFonts w:ascii="Calibri" w:hAnsi="Calibri" w:cs="Arial"/>
          <w:b/>
          <w:bCs/>
          <w:color w:val="7F7F7F" w:themeColor="text1" w:themeTint="80"/>
          <w:sz w:val="26"/>
          <w:szCs w:val="26"/>
        </w:rPr>
        <w:t xml:space="preserve"> nulidad total</w:t>
      </w:r>
      <w:r w:rsidRPr="002C4A64">
        <w:rPr>
          <w:rFonts w:ascii="Calibri" w:hAnsi="Calibri" w:cs="Arial"/>
          <w:color w:val="7F7F7F" w:themeColor="text1" w:themeTint="80"/>
          <w:sz w:val="26"/>
          <w:szCs w:val="26"/>
        </w:rPr>
        <w:t xml:space="preserve"> del </w:t>
      </w:r>
      <w:r w:rsidRPr="002C4A64">
        <w:rPr>
          <w:rFonts w:ascii="Calibri" w:hAnsi="Calibri"/>
          <w:color w:val="7F7F7F" w:themeColor="text1" w:themeTint="80"/>
          <w:sz w:val="26"/>
        </w:rPr>
        <w:t xml:space="preserve">valor fiscal que de </w:t>
      </w:r>
      <w:r w:rsidRPr="002C4A64">
        <w:rPr>
          <w:rFonts w:ascii="Calibri" w:hAnsi="Calibri"/>
          <w:color w:val="7F7F7F" w:themeColor="text1" w:themeTint="80"/>
          <w:sz w:val="26"/>
          <w:szCs w:val="26"/>
        </w:rPr>
        <w:t>$</w:t>
      </w:r>
      <w:r w:rsidR="003B339B" w:rsidRPr="002C4A64">
        <w:rPr>
          <w:rFonts w:ascii="Calibri" w:hAnsi="Calibri"/>
          <w:color w:val="7F7F7F" w:themeColor="text1" w:themeTint="80"/>
          <w:sz w:val="26"/>
          <w:szCs w:val="26"/>
        </w:rPr>
        <w:t>2</w:t>
      </w:r>
      <w:r w:rsidRPr="002C4A64">
        <w:rPr>
          <w:rFonts w:ascii="Calibri" w:hAnsi="Calibri"/>
          <w:color w:val="7F7F7F" w:themeColor="text1" w:themeTint="80"/>
          <w:sz w:val="26"/>
          <w:szCs w:val="26"/>
        </w:rPr>
        <w:t>’</w:t>
      </w:r>
      <w:r w:rsidR="003B339B" w:rsidRPr="002C4A64">
        <w:rPr>
          <w:rFonts w:ascii="Calibri" w:hAnsi="Calibri"/>
          <w:color w:val="7F7F7F" w:themeColor="text1" w:themeTint="80"/>
          <w:sz w:val="26"/>
          <w:szCs w:val="26"/>
        </w:rPr>
        <w:t>839</w:t>
      </w:r>
      <w:r w:rsidRPr="002C4A64">
        <w:rPr>
          <w:rFonts w:ascii="Calibri" w:hAnsi="Calibri"/>
          <w:color w:val="7F7F7F" w:themeColor="text1" w:themeTint="80"/>
          <w:sz w:val="26"/>
          <w:szCs w:val="26"/>
        </w:rPr>
        <w:t>,</w:t>
      </w:r>
      <w:r w:rsidR="003B339B" w:rsidRPr="002C4A64">
        <w:rPr>
          <w:rFonts w:ascii="Calibri" w:hAnsi="Calibri"/>
          <w:color w:val="7F7F7F" w:themeColor="text1" w:themeTint="80"/>
          <w:sz w:val="26"/>
          <w:szCs w:val="26"/>
        </w:rPr>
        <w:t>957</w:t>
      </w:r>
      <w:r w:rsidRPr="002C4A64">
        <w:rPr>
          <w:rFonts w:ascii="Calibri" w:hAnsi="Calibri"/>
          <w:color w:val="7F7F7F" w:themeColor="text1" w:themeTint="80"/>
          <w:sz w:val="26"/>
          <w:szCs w:val="26"/>
        </w:rPr>
        <w:t>.</w:t>
      </w:r>
      <w:r w:rsidR="003B339B" w:rsidRPr="002C4A64">
        <w:rPr>
          <w:rFonts w:ascii="Calibri" w:hAnsi="Calibri"/>
          <w:color w:val="7F7F7F" w:themeColor="text1" w:themeTint="80"/>
          <w:sz w:val="26"/>
          <w:szCs w:val="26"/>
        </w:rPr>
        <w:t>28</w:t>
      </w:r>
      <w:r w:rsidRPr="002C4A64">
        <w:rPr>
          <w:rFonts w:ascii="Calibri" w:hAnsi="Calibri"/>
          <w:color w:val="7F7F7F" w:themeColor="text1" w:themeTint="80"/>
          <w:sz w:val="26"/>
          <w:szCs w:val="26"/>
        </w:rPr>
        <w:t xml:space="preserve"> </w:t>
      </w:r>
      <w:r w:rsidR="003B339B" w:rsidRPr="002C4A64">
        <w:rPr>
          <w:rFonts w:ascii="Calibri" w:hAnsi="Calibri"/>
          <w:color w:val="7F7F7F" w:themeColor="text1" w:themeTint="80"/>
          <w:sz w:val="26"/>
          <w:szCs w:val="26"/>
        </w:rPr>
        <w:t xml:space="preserve">(Dos millones ochocientos treinta y nueve mil novecientos cincuenta y siete pesos 28/100 Moneda Nacional), </w:t>
      </w:r>
      <w:r w:rsidRPr="002C4A64">
        <w:rPr>
          <w:rFonts w:ascii="Calibri" w:hAnsi="Calibri"/>
          <w:color w:val="7F7F7F" w:themeColor="text1" w:themeTint="80"/>
          <w:sz w:val="26"/>
        </w:rPr>
        <w:t xml:space="preserve">se determinó al inmueble propiedad del ciudadano </w:t>
      </w:r>
      <w:r w:rsidR="00307289">
        <w:rPr>
          <w:rFonts w:ascii="Calibri" w:hAnsi="Calibri"/>
          <w:color w:val="7F7F7F" w:themeColor="text1" w:themeTint="80"/>
          <w:sz w:val="26"/>
        </w:rPr>
        <w:t>*****</w:t>
      </w:r>
      <w:r w:rsidR="003B339B" w:rsidRPr="002C4A64">
        <w:rPr>
          <w:rFonts w:ascii="Calibri" w:hAnsi="Calibri"/>
          <w:color w:val="7F7F7F" w:themeColor="text1" w:themeTint="80"/>
          <w:sz w:val="26"/>
        </w:rPr>
        <w:t xml:space="preserve"> </w:t>
      </w:r>
      <w:r w:rsidRPr="002C4A64">
        <w:rPr>
          <w:rFonts w:ascii="Calibri" w:hAnsi="Calibri"/>
          <w:color w:val="7F7F7F" w:themeColor="text1" w:themeTint="80"/>
          <w:sz w:val="26"/>
        </w:rPr>
        <w:t xml:space="preserve">y con </w:t>
      </w:r>
      <w:r w:rsidRPr="002C4A64">
        <w:rPr>
          <w:rFonts w:ascii="Calibri" w:hAnsi="Calibri"/>
          <w:color w:val="7F7F7F" w:themeColor="text1" w:themeTint="80"/>
          <w:sz w:val="26"/>
        </w:rPr>
        <w:lastRenderedPageBreak/>
        <w:t>cuenta predial número</w:t>
      </w:r>
      <w:r w:rsidR="003B339B" w:rsidRPr="002C4A64">
        <w:rPr>
          <w:rFonts w:ascii="Calibri" w:hAnsi="Calibri"/>
          <w:color w:val="7F7F7F" w:themeColor="text1" w:themeTint="80"/>
          <w:sz w:val="26"/>
        </w:rPr>
        <w:t xml:space="preserve"> </w:t>
      </w:r>
      <w:r w:rsidR="00654ED4" w:rsidRPr="002C4A64">
        <w:rPr>
          <w:rFonts w:ascii="Calibri" w:hAnsi="Calibri"/>
          <w:color w:val="7F7F7F" w:themeColor="text1" w:themeTint="80"/>
          <w:sz w:val="26"/>
        </w:rPr>
        <w:t>01-A- A04804-001, (cero uno gui</w:t>
      </w:r>
      <w:r w:rsidR="00DC188B" w:rsidRPr="002C4A64">
        <w:rPr>
          <w:rFonts w:ascii="Calibri" w:hAnsi="Calibri"/>
          <w:color w:val="7F7F7F" w:themeColor="text1" w:themeTint="80"/>
          <w:sz w:val="26"/>
        </w:rPr>
        <w:t>o</w:t>
      </w:r>
      <w:r w:rsidR="00654ED4" w:rsidRPr="002C4A64">
        <w:rPr>
          <w:rFonts w:ascii="Calibri" w:hAnsi="Calibri"/>
          <w:color w:val="7F7F7F" w:themeColor="text1" w:themeTint="80"/>
          <w:sz w:val="26"/>
        </w:rPr>
        <w:t>n A gui</w:t>
      </w:r>
      <w:r w:rsidR="00DC188B" w:rsidRPr="002C4A64">
        <w:rPr>
          <w:rFonts w:ascii="Calibri" w:hAnsi="Calibri"/>
          <w:color w:val="7F7F7F" w:themeColor="text1" w:themeTint="80"/>
          <w:sz w:val="26"/>
        </w:rPr>
        <w:t>o</w:t>
      </w:r>
      <w:r w:rsidR="00654ED4" w:rsidRPr="002C4A64">
        <w:rPr>
          <w:rFonts w:ascii="Calibri" w:hAnsi="Calibri"/>
          <w:color w:val="7F7F7F" w:themeColor="text1" w:themeTint="80"/>
          <w:sz w:val="26"/>
        </w:rPr>
        <w:t>n A cero-cuatro-ocho-cero-cuatro gui</w:t>
      </w:r>
      <w:r w:rsidR="00DC188B" w:rsidRPr="002C4A64">
        <w:rPr>
          <w:rFonts w:ascii="Calibri" w:hAnsi="Calibri"/>
          <w:color w:val="7F7F7F" w:themeColor="text1" w:themeTint="80"/>
          <w:sz w:val="26"/>
        </w:rPr>
        <w:t>o</w:t>
      </w:r>
      <w:r w:rsidR="00654ED4" w:rsidRPr="002C4A64">
        <w:rPr>
          <w:rFonts w:ascii="Calibri" w:hAnsi="Calibri"/>
          <w:color w:val="7F7F7F" w:themeColor="text1" w:themeTint="80"/>
          <w:sz w:val="26"/>
        </w:rPr>
        <w:t>n cero-cero-uno)</w:t>
      </w:r>
      <w:r w:rsidRPr="002C4A64">
        <w:rPr>
          <w:rFonts w:ascii="Calibri" w:hAnsi="Calibri"/>
          <w:color w:val="7F7F7F" w:themeColor="text1" w:themeTint="80"/>
          <w:sz w:val="26"/>
        </w:rPr>
        <w:t xml:space="preserve">, </w:t>
      </w:r>
      <w:r w:rsidR="00654ED4" w:rsidRPr="002C4A64">
        <w:rPr>
          <w:rFonts w:ascii="Calibri" w:hAnsi="Calibri"/>
          <w:b/>
          <w:color w:val="7F7F7F" w:themeColor="text1" w:themeTint="80"/>
          <w:sz w:val="26"/>
        </w:rPr>
        <w:t>c</w:t>
      </w:r>
      <w:r w:rsidRPr="002C4A64">
        <w:rPr>
          <w:rFonts w:ascii="Calibri" w:hAnsi="Calibri"/>
          <w:b/>
          <w:color w:val="7F7F7F" w:themeColor="text1" w:themeTint="80"/>
          <w:sz w:val="26"/>
        </w:rPr>
        <w:t>on la consecuencia</w:t>
      </w:r>
      <w:r w:rsidRPr="002C4A64">
        <w:rPr>
          <w:rFonts w:ascii="Calibri" w:hAnsi="Calibri"/>
          <w:color w:val="7F7F7F" w:themeColor="text1" w:themeTint="80"/>
          <w:sz w:val="26"/>
        </w:rPr>
        <w:t xml:space="preserve"> de </w:t>
      </w:r>
      <w:r w:rsidR="0006663A">
        <w:rPr>
          <w:rFonts w:ascii="Calibri" w:hAnsi="Calibri"/>
          <w:color w:val="7F7F7F" w:themeColor="text1" w:themeTint="80"/>
          <w:sz w:val="26"/>
        </w:rPr>
        <w:t xml:space="preserve">que </w:t>
      </w:r>
      <w:r w:rsidR="00DA7CE3">
        <w:rPr>
          <w:rFonts w:ascii="Calibri" w:hAnsi="Calibri"/>
          <w:color w:val="7F7F7F" w:themeColor="text1" w:themeTint="80"/>
          <w:sz w:val="26"/>
        </w:rPr>
        <w:t xml:space="preserve">también lo son </w:t>
      </w:r>
      <w:r w:rsidR="0006663A">
        <w:rPr>
          <w:rFonts w:ascii="Calibri" w:hAnsi="Calibri"/>
          <w:color w:val="7F7F7F" w:themeColor="text1" w:themeTint="80"/>
          <w:sz w:val="26"/>
        </w:rPr>
        <w:t xml:space="preserve">los actos que se sustenten en el valor decretado nulo y </w:t>
      </w:r>
      <w:r w:rsidRPr="002C4A64">
        <w:rPr>
          <w:rFonts w:ascii="Calibri" w:hAnsi="Calibri"/>
          <w:color w:val="7F7F7F" w:themeColor="text1" w:themeTint="80"/>
          <w:sz w:val="26"/>
        </w:rPr>
        <w:t xml:space="preserve">que las autoridades demandadas, </w:t>
      </w:r>
      <w:r w:rsidRPr="00805649">
        <w:rPr>
          <w:rFonts w:ascii="Calibri" w:hAnsi="Calibri"/>
          <w:b/>
          <w:color w:val="7F7F7F" w:themeColor="text1" w:themeTint="80"/>
          <w:sz w:val="26"/>
        </w:rPr>
        <w:t>para todos los efectos</w:t>
      </w:r>
      <w:r w:rsidRPr="002C4A64">
        <w:rPr>
          <w:rFonts w:ascii="Calibri" w:hAnsi="Calibri"/>
          <w:color w:val="7F7F7F" w:themeColor="text1" w:themeTint="80"/>
          <w:sz w:val="26"/>
        </w:rPr>
        <w:t>,</w:t>
      </w:r>
      <w:r w:rsidR="00805649" w:rsidRPr="00DA7CE3">
        <w:rPr>
          <w:rFonts w:ascii="Calibri" w:hAnsi="Calibri"/>
          <w:color w:val="7F7F7F" w:themeColor="text1" w:themeTint="80"/>
          <w:sz w:val="26"/>
        </w:rPr>
        <w:t xml:space="preserve"> incluso para la determinación de un crédito fiscal y requerimiento del mismo,</w:t>
      </w:r>
      <w:r w:rsidRPr="00DA7CE3">
        <w:rPr>
          <w:rFonts w:ascii="Calibri" w:hAnsi="Calibri"/>
          <w:color w:val="7F7F7F" w:themeColor="text1" w:themeTint="80"/>
          <w:sz w:val="26"/>
        </w:rPr>
        <w:t xml:space="preserve"> </w:t>
      </w:r>
      <w:r w:rsidR="00DA7CE3">
        <w:rPr>
          <w:rFonts w:ascii="Calibri" w:hAnsi="Calibri"/>
          <w:color w:val="7F7F7F" w:themeColor="text1" w:themeTint="80"/>
          <w:sz w:val="26"/>
        </w:rPr>
        <w:t xml:space="preserve">deberán </w:t>
      </w:r>
      <w:r w:rsidRPr="002C4A64">
        <w:rPr>
          <w:rFonts w:ascii="Calibri" w:hAnsi="Calibri"/>
          <w:color w:val="7F7F7F" w:themeColor="text1" w:themeTint="80"/>
          <w:sz w:val="26"/>
        </w:rPr>
        <w:t xml:space="preserve">tomar como valor del inmueble, </w:t>
      </w:r>
      <w:r w:rsidR="00DA7CE3">
        <w:rPr>
          <w:rFonts w:ascii="Calibri" w:hAnsi="Calibri"/>
          <w:color w:val="7F7F7F" w:themeColor="text1" w:themeTint="80"/>
          <w:sz w:val="26"/>
        </w:rPr>
        <w:t>-</w:t>
      </w:r>
      <w:r w:rsidRPr="002C4A64">
        <w:rPr>
          <w:rFonts w:ascii="Calibri" w:hAnsi="Calibri"/>
          <w:color w:val="7F7F7F" w:themeColor="text1" w:themeTint="80"/>
          <w:sz w:val="26"/>
        </w:rPr>
        <w:t>en tanto no se practique un avalúo siguiendo lo previsto en la Ley de Hacienda para los Muni</w:t>
      </w:r>
      <w:r w:rsidR="00DC188B" w:rsidRPr="002C4A64">
        <w:rPr>
          <w:rFonts w:ascii="Calibri" w:hAnsi="Calibri"/>
          <w:color w:val="7F7F7F" w:themeColor="text1" w:themeTint="80"/>
          <w:sz w:val="26"/>
        </w:rPr>
        <w:t>cipios del Estado de Guanajuato</w:t>
      </w:r>
      <w:r w:rsidR="00DA7CE3">
        <w:rPr>
          <w:rFonts w:ascii="Calibri" w:hAnsi="Calibri"/>
          <w:color w:val="7F7F7F" w:themeColor="text1" w:themeTint="80"/>
          <w:sz w:val="26"/>
        </w:rPr>
        <w:t>-</w:t>
      </w:r>
      <w:r w:rsidR="00DC188B" w:rsidRPr="002C4A64">
        <w:rPr>
          <w:rFonts w:ascii="Calibri" w:hAnsi="Calibri"/>
          <w:color w:val="7F7F7F" w:themeColor="text1" w:themeTint="80"/>
          <w:sz w:val="26"/>
        </w:rPr>
        <w:t>,</w:t>
      </w:r>
      <w:r w:rsidRPr="002C4A64">
        <w:rPr>
          <w:rFonts w:ascii="Calibri" w:hAnsi="Calibri"/>
          <w:color w:val="7F7F7F" w:themeColor="text1" w:themeTint="80"/>
          <w:sz w:val="26"/>
        </w:rPr>
        <w:t xml:space="preserve"> el valor fiscal registrado anterior al valor decretado nulo,</w:t>
      </w:r>
      <w:r w:rsidR="00DC188B" w:rsidRPr="002C4A64">
        <w:rPr>
          <w:rFonts w:ascii="Calibri" w:hAnsi="Calibri"/>
          <w:color w:val="7F7F7F" w:themeColor="text1" w:themeTint="80"/>
          <w:sz w:val="26"/>
        </w:rPr>
        <w:t xml:space="preserve"> esto es</w:t>
      </w:r>
      <w:r w:rsidR="00DA7CE3">
        <w:rPr>
          <w:rFonts w:ascii="Calibri" w:hAnsi="Calibri"/>
          <w:color w:val="7F7F7F" w:themeColor="text1" w:themeTint="80"/>
          <w:sz w:val="26"/>
        </w:rPr>
        <w:t>,</w:t>
      </w:r>
      <w:r w:rsidR="00DC188B" w:rsidRPr="002C4A64">
        <w:rPr>
          <w:rFonts w:ascii="Calibri" w:hAnsi="Calibri"/>
          <w:color w:val="7F7F7F" w:themeColor="text1" w:themeTint="80"/>
          <w:sz w:val="26"/>
        </w:rPr>
        <w:t xml:space="preserve"> </w:t>
      </w:r>
      <w:r w:rsidR="00805649">
        <w:rPr>
          <w:rFonts w:ascii="Calibri" w:hAnsi="Calibri"/>
          <w:color w:val="7F7F7F" w:themeColor="text1" w:themeTint="80"/>
          <w:sz w:val="26"/>
        </w:rPr>
        <w:t>tomar en cuenta el valor de $2’</w:t>
      </w:r>
      <w:r w:rsidR="00DC188B" w:rsidRPr="002C4A64">
        <w:rPr>
          <w:rFonts w:ascii="Calibri" w:hAnsi="Calibri"/>
          <w:color w:val="7F7F7F" w:themeColor="text1" w:themeTint="80"/>
          <w:sz w:val="26"/>
        </w:rPr>
        <w:t>719,208.10 (Dos millones setecientos diecinueve mil doscientos ocho pesos 10/100 Moneda Nacional);</w:t>
      </w:r>
      <w:r w:rsidRPr="002C4A64">
        <w:rPr>
          <w:rFonts w:ascii="Calibri" w:hAnsi="Calibri"/>
          <w:color w:val="7F7F7F" w:themeColor="text1" w:themeTint="80"/>
          <w:sz w:val="26"/>
        </w:rPr>
        <w:t xml:space="preserve"> por lo que deberán hacer los ajustes en sus archivos, expedientes y asientos, que resulten necesarios. . . . . . . . . . . . . . .</w:t>
      </w:r>
      <w:r w:rsidR="00DA7CE3">
        <w:rPr>
          <w:rFonts w:ascii="Calibri" w:hAnsi="Calibri"/>
          <w:color w:val="7F7F7F" w:themeColor="text1" w:themeTint="80"/>
          <w:sz w:val="26"/>
        </w:rPr>
        <w:t xml:space="preserve"> . . </w:t>
      </w:r>
    </w:p>
    <w:p w:rsidR="0012493C" w:rsidRDefault="0012493C" w:rsidP="00591CB1">
      <w:pPr>
        <w:pStyle w:val="Textoindependiente"/>
        <w:ind w:firstLine="708"/>
        <w:rPr>
          <w:rFonts w:ascii="Calibri" w:hAnsi="Calibri"/>
          <w:color w:val="7F7F7F" w:themeColor="text1" w:themeTint="80"/>
          <w:sz w:val="26"/>
        </w:rPr>
      </w:pPr>
    </w:p>
    <w:p w:rsidR="0012493C" w:rsidRPr="00DA7CE3" w:rsidRDefault="0012493C" w:rsidP="0012493C">
      <w:pPr>
        <w:pStyle w:val="Sangradetextonormal"/>
        <w:rPr>
          <w:color w:val="7F7F7F" w:themeColor="text1" w:themeTint="80"/>
          <w:lang w:eastAsia="es-MX"/>
        </w:rPr>
      </w:pPr>
      <w:r w:rsidRPr="00DA7CE3">
        <w:rPr>
          <w:color w:val="7F7F7F" w:themeColor="text1" w:themeTint="80"/>
          <w:lang w:eastAsia="es-MX"/>
        </w:rPr>
        <w:t xml:space="preserve">Por último, a efecto de no cometer violaciones procesales en perjuicio de las partes, en relación a las excepciones y defensas que oponen las autoridades demandadas, se  expresa lo siguiente: . . . . . . . . . . . . . . . . . . . . . . . . . . . . . . . . . . . . . </w:t>
      </w:r>
    </w:p>
    <w:p w:rsidR="0012493C" w:rsidRPr="0012493C" w:rsidRDefault="0012493C" w:rsidP="0012493C">
      <w:pPr>
        <w:pStyle w:val="Textoindependiente"/>
        <w:ind w:firstLine="708"/>
        <w:rPr>
          <w:rFonts w:ascii="Calibri" w:hAnsi="Calibri" w:cs="Calibri"/>
          <w:color w:val="FF0000"/>
          <w:sz w:val="26"/>
          <w:szCs w:val="26"/>
        </w:rPr>
      </w:pPr>
    </w:p>
    <w:p w:rsidR="0012493C" w:rsidRPr="00DA7CE3" w:rsidRDefault="0012493C" w:rsidP="0012493C">
      <w:pPr>
        <w:pStyle w:val="Textoindependiente"/>
        <w:rPr>
          <w:rFonts w:ascii="Calibri" w:hAnsi="Calibri" w:cs="Calibri"/>
          <w:color w:val="7F7F7F" w:themeColor="text1" w:themeTint="80"/>
          <w:sz w:val="26"/>
          <w:szCs w:val="26"/>
        </w:rPr>
      </w:pPr>
      <w:r w:rsidRPr="0012493C">
        <w:rPr>
          <w:rFonts w:ascii="Calibri" w:hAnsi="Calibri" w:cs="Calibri"/>
          <w:color w:val="FF0000"/>
          <w:sz w:val="26"/>
          <w:szCs w:val="26"/>
        </w:rPr>
        <w:tab/>
      </w:r>
      <w:r w:rsidRPr="00DA7CE3">
        <w:rPr>
          <w:rFonts w:ascii="Calibri" w:hAnsi="Calibri" w:cs="Calibri"/>
          <w:color w:val="7F7F7F" w:themeColor="text1" w:themeTint="80"/>
          <w:sz w:val="26"/>
          <w:szCs w:val="26"/>
        </w:rPr>
        <w:t xml:space="preserve">a).- Tocante a las excepciones de que los actos impugnados </w:t>
      </w:r>
      <w:r w:rsidR="00DA7CE3" w:rsidRPr="00DA7CE3">
        <w:rPr>
          <w:rFonts w:ascii="Calibri" w:hAnsi="Calibri" w:cs="Calibri"/>
          <w:i/>
          <w:color w:val="7F7F7F" w:themeColor="text1" w:themeTint="80"/>
          <w:sz w:val="26"/>
          <w:szCs w:val="26"/>
        </w:rPr>
        <w:t>“</w:t>
      </w:r>
      <w:r w:rsidRPr="00DA7CE3">
        <w:rPr>
          <w:rFonts w:ascii="Calibri" w:hAnsi="Calibri" w:cs="Calibri"/>
          <w:i/>
          <w:color w:val="7F7F7F" w:themeColor="text1" w:themeTint="80"/>
          <w:sz w:val="26"/>
          <w:szCs w:val="26"/>
        </w:rPr>
        <w:t>cumplen con los requisitos de existencia y validez</w:t>
      </w:r>
      <w:r w:rsidR="00DA7CE3">
        <w:rPr>
          <w:rFonts w:ascii="Calibri" w:hAnsi="Calibri" w:cs="Calibri"/>
          <w:color w:val="7F7F7F" w:themeColor="text1" w:themeTint="80"/>
          <w:sz w:val="26"/>
          <w:szCs w:val="26"/>
        </w:rPr>
        <w:t>”</w:t>
      </w:r>
      <w:r w:rsidRPr="00DA7CE3">
        <w:rPr>
          <w:rFonts w:ascii="Calibri" w:hAnsi="Calibri" w:cs="Calibri"/>
          <w:color w:val="7F7F7F" w:themeColor="text1" w:themeTint="80"/>
          <w:sz w:val="26"/>
          <w:szCs w:val="26"/>
        </w:rPr>
        <w:t xml:space="preserve">; </w:t>
      </w:r>
      <w:r w:rsidR="00C05F86" w:rsidRPr="00DA7CE3">
        <w:rPr>
          <w:rFonts w:ascii="Calibri" w:hAnsi="Calibri" w:cs="Calibri"/>
          <w:color w:val="7F7F7F" w:themeColor="text1" w:themeTint="80"/>
          <w:sz w:val="26"/>
          <w:szCs w:val="26"/>
        </w:rPr>
        <w:t xml:space="preserve">de que hubo consentimiento por parte del actor; y, de prescripción de la acción, </w:t>
      </w:r>
      <w:r w:rsidRPr="00DA7CE3">
        <w:rPr>
          <w:rFonts w:ascii="Calibri" w:hAnsi="Calibri" w:cs="Calibri"/>
          <w:color w:val="7F7F7F" w:themeColor="text1" w:themeTint="80"/>
          <w:sz w:val="26"/>
          <w:szCs w:val="26"/>
        </w:rPr>
        <w:t>no opera</w:t>
      </w:r>
      <w:r w:rsidR="00C05F86" w:rsidRPr="00DA7CE3">
        <w:rPr>
          <w:rFonts w:ascii="Calibri" w:hAnsi="Calibri" w:cs="Calibri"/>
          <w:color w:val="7F7F7F" w:themeColor="text1" w:themeTint="80"/>
          <w:sz w:val="26"/>
          <w:szCs w:val="26"/>
        </w:rPr>
        <w:t>n</w:t>
      </w:r>
      <w:r w:rsidRPr="00DA7CE3">
        <w:rPr>
          <w:rFonts w:ascii="Calibri" w:hAnsi="Calibri" w:cs="Calibri"/>
          <w:color w:val="7F7F7F" w:themeColor="text1" w:themeTint="80"/>
          <w:sz w:val="26"/>
          <w:szCs w:val="26"/>
        </w:rPr>
        <w:t xml:space="preserve"> la</w:t>
      </w:r>
      <w:r w:rsidR="000610B1" w:rsidRPr="00DA7CE3">
        <w:rPr>
          <w:rFonts w:ascii="Calibri" w:hAnsi="Calibri" w:cs="Calibri"/>
          <w:color w:val="7F7F7F" w:themeColor="text1" w:themeTint="80"/>
          <w:sz w:val="26"/>
          <w:szCs w:val="26"/>
        </w:rPr>
        <w:t>s</w:t>
      </w:r>
      <w:r w:rsidRPr="00DA7CE3">
        <w:rPr>
          <w:rFonts w:ascii="Calibri" w:hAnsi="Calibri" w:cs="Calibri"/>
          <w:color w:val="7F7F7F" w:themeColor="text1" w:themeTint="80"/>
          <w:sz w:val="26"/>
          <w:szCs w:val="26"/>
        </w:rPr>
        <w:t xml:space="preserve"> misma</w:t>
      </w:r>
      <w:r w:rsidR="00C05F86" w:rsidRPr="00DA7CE3">
        <w:rPr>
          <w:rFonts w:ascii="Calibri" w:hAnsi="Calibri" w:cs="Calibri"/>
          <w:color w:val="7F7F7F" w:themeColor="text1" w:themeTint="80"/>
          <w:sz w:val="26"/>
          <w:szCs w:val="26"/>
        </w:rPr>
        <w:t>s</w:t>
      </w:r>
      <w:r w:rsidRPr="00DA7CE3">
        <w:rPr>
          <w:rFonts w:ascii="Calibri" w:hAnsi="Calibri" w:cs="Calibri"/>
          <w:color w:val="7F7F7F" w:themeColor="text1" w:themeTint="80"/>
          <w:sz w:val="26"/>
          <w:szCs w:val="26"/>
        </w:rPr>
        <w:t xml:space="preserve">, pues como ya se señaló, al hacerse el estudio correspondiente en este mismo Considerando, </w:t>
      </w:r>
      <w:r w:rsidR="00C05F86" w:rsidRPr="00DA7CE3">
        <w:rPr>
          <w:rFonts w:ascii="Calibri" w:hAnsi="Calibri" w:cs="Calibri"/>
          <w:color w:val="7F7F7F" w:themeColor="text1" w:themeTint="80"/>
          <w:sz w:val="26"/>
          <w:szCs w:val="26"/>
        </w:rPr>
        <w:t xml:space="preserve">el acto controvertido se emitió con </w:t>
      </w:r>
      <w:r w:rsidR="005663D5" w:rsidRPr="00DA7CE3">
        <w:rPr>
          <w:rFonts w:ascii="Calibri" w:hAnsi="Calibri" w:cs="Calibri"/>
          <w:color w:val="7F7F7F" w:themeColor="text1" w:themeTint="80"/>
          <w:sz w:val="26"/>
          <w:szCs w:val="26"/>
        </w:rPr>
        <w:t>l</w:t>
      </w:r>
      <w:r w:rsidR="00C05F86" w:rsidRPr="00DA7CE3">
        <w:rPr>
          <w:rFonts w:ascii="Calibri" w:hAnsi="Calibri" w:cs="Calibri"/>
          <w:color w:val="7F7F7F" w:themeColor="text1" w:themeTint="80"/>
          <w:sz w:val="26"/>
          <w:szCs w:val="26"/>
        </w:rPr>
        <w:t>a omisión de un requisito formal</w:t>
      </w:r>
      <w:r w:rsidRPr="00DA7CE3">
        <w:rPr>
          <w:rFonts w:ascii="Calibri" w:hAnsi="Calibri" w:cs="Calibri"/>
          <w:color w:val="7F7F7F" w:themeColor="text1" w:themeTint="80"/>
          <w:sz w:val="26"/>
          <w:szCs w:val="26"/>
        </w:rPr>
        <w:t>, por lo que procedió decretar su nulidad</w:t>
      </w:r>
      <w:r w:rsidR="00C05F86" w:rsidRPr="00DA7CE3">
        <w:rPr>
          <w:rFonts w:ascii="Calibri" w:hAnsi="Calibri" w:cs="Calibri"/>
          <w:color w:val="7F7F7F" w:themeColor="text1" w:themeTint="80"/>
          <w:sz w:val="26"/>
          <w:szCs w:val="26"/>
        </w:rPr>
        <w:t xml:space="preserve">. Así mismo, en los considerandos Segundo y Cuarto, se estableció que </w:t>
      </w:r>
      <w:r w:rsidR="00C05F86" w:rsidRPr="00DA7CE3">
        <w:rPr>
          <w:rFonts w:ascii="Calibri" w:hAnsi="Calibri" w:cs="Calibri"/>
          <w:b/>
          <w:color w:val="7F7F7F" w:themeColor="text1" w:themeTint="80"/>
          <w:sz w:val="26"/>
          <w:szCs w:val="26"/>
        </w:rPr>
        <w:t xml:space="preserve">no </w:t>
      </w:r>
      <w:r w:rsidR="00C05F86" w:rsidRPr="00DA7CE3">
        <w:rPr>
          <w:rFonts w:ascii="Calibri" w:hAnsi="Calibri" w:cs="Calibri"/>
          <w:color w:val="7F7F7F" w:themeColor="text1" w:themeTint="80"/>
          <w:sz w:val="26"/>
          <w:szCs w:val="26"/>
        </w:rPr>
        <w:t xml:space="preserve">hay consentimiento del actor y que la demanda fue presentada </w:t>
      </w:r>
      <w:r w:rsidR="00C05F86" w:rsidRPr="00DA7CE3">
        <w:rPr>
          <w:rFonts w:ascii="Calibri" w:hAnsi="Calibri" w:cs="Calibri"/>
          <w:b/>
          <w:color w:val="7F7F7F" w:themeColor="text1" w:themeTint="80"/>
          <w:sz w:val="26"/>
          <w:szCs w:val="26"/>
        </w:rPr>
        <w:t>oportunamente</w:t>
      </w:r>
      <w:r w:rsidRPr="00DA7CE3">
        <w:rPr>
          <w:rFonts w:ascii="Calibri" w:hAnsi="Calibri" w:cs="Calibri"/>
          <w:color w:val="7F7F7F" w:themeColor="text1" w:themeTint="80"/>
          <w:sz w:val="26"/>
          <w:szCs w:val="26"/>
        </w:rPr>
        <w:t>. . . . . . . . . . . . . . . .</w:t>
      </w:r>
      <w:r w:rsidR="00DA7CE3">
        <w:rPr>
          <w:rFonts w:ascii="Calibri" w:hAnsi="Calibri" w:cs="Calibri"/>
          <w:color w:val="7F7F7F" w:themeColor="text1" w:themeTint="80"/>
          <w:sz w:val="26"/>
          <w:szCs w:val="26"/>
        </w:rPr>
        <w:t xml:space="preserve"> . . . . . . . . . . . . . . . . . . . . . . . . . . . . . </w:t>
      </w:r>
    </w:p>
    <w:p w:rsidR="0012493C" w:rsidRPr="00DA7CE3" w:rsidRDefault="0012493C" w:rsidP="0012493C">
      <w:pPr>
        <w:pStyle w:val="Textoindependiente"/>
        <w:rPr>
          <w:rFonts w:ascii="Calibri" w:hAnsi="Calibri" w:cs="Calibri"/>
          <w:color w:val="7F7F7F" w:themeColor="text1" w:themeTint="80"/>
          <w:sz w:val="26"/>
          <w:szCs w:val="26"/>
        </w:rPr>
      </w:pPr>
    </w:p>
    <w:p w:rsidR="00C05F86" w:rsidRPr="00DA7CE3" w:rsidRDefault="0012493C" w:rsidP="0012493C">
      <w:pPr>
        <w:pStyle w:val="Textoindependiente"/>
        <w:rPr>
          <w:rFonts w:ascii="Calibri" w:hAnsi="Calibri" w:cs="Calibri"/>
          <w:color w:val="7F7F7F" w:themeColor="text1" w:themeTint="80"/>
          <w:sz w:val="26"/>
          <w:szCs w:val="26"/>
        </w:rPr>
      </w:pPr>
      <w:r w:rsidRPr="00DA7CE3">
        <w:rPr>
          <w:rFonts w:ascii="Calibri" w:hAnsi="Calibri" w:cs="Calibri"/>
          <w:color w:val="7F7F7F" w:themeColor="text1" w:themeTint="80"/>
          <w:sz w:val="26"/>
          <w:szCs w:val="26"/>
        </w:rPr>
        <w:tab/>
        <w:t xml:space="preserve">b).- </w:t>
      </w:r>
      <w:r w:rsidR="00C05F86" w:rsidRPr="00DA7CE3">
        <w:rPr>
          <w:rFonts w:ascii="Calibri" w:hAnsi="Calibri" w:cs="Calibri"/>
          <w:color w:val="7F7F7F" w:themeColor="text1" w:themeTint="80"/>
          <w:sz w:val="26"/>
          <w:szCs w:val="26"/>
        </w:rPr>
        <w:t xml:space="preserve">En cuanto a la </w:t>
      </w:r>
      <w:r w:rsidR="00C05F86" w:rsidRPr="002658C4">
        <w:rPr>
          <w:rFonts w:ascii="Calibri" w:hAnsi="Calibri" w:cs="Calibri"/>
          <w:i/>
          <w:color w:val="7F7F7F" w:themeColor="text1" w:themeTint="80"/>
          <w:sz w:val="26"/>
          <w:szCs w:val="26"/>
        </w:rPr>
        <w:t>“Falta de Acción y Carencia de derecho”</w:t>
      </w:r>
      <w:r w:rsidR="00C05F86" w:rsidRPr="00DA7CE3">
        <w:rPr>
          <w:rFonts w:ascii="Calibri" w:hAnsi="Calibri" w:cs="Calibri"/>
          <w:color w:val="7F7F7F" w:themeColor="text1" w:themeTint="80"/>
          <w:sz w:val="26"/>
          <w:szCs w:val="26"/>
        </w:rPr>
        <w:t>, tampoco</w:t>
      </w:r>
      <w:r w:rsidR="002658C4">
        <w:rPr>
          <w:rFonts w:ascii="Calibri" w:hAnsi="Calibri" w:cs="Calibri"/>
          <w:color w:val="7F7F7F" w:themeColor="text1" w:themeTint="80"/>
          <w:sz w:val="26"/>
          <w:szCs w:val="26"/>
        </w:rPr>
        <w:t xml:space="preserve"> opera como excepción o defensa;</w:t>
      </w:r>
      <w:r w:rsidR="00C05F86" w:rsidRPr="00DA7CE3">
        <w:rPr>
          <w:rFonts w:ascii="Calibri" w:hAnsi="Calibri" w:cs="Calibri"/>
          <w:color w:val="7F7F7F" w:themeColor="text1" w:themeTint="80"/>
          <w:sz w:val="26"/>
          <w:szCs w:val="26"/>
        </w:rPr>
        <w:t xml:space="preserve"> pues está claro que el ciudadano </w:t>
      </w:r>
      <w:r w:rsidR="00307289">
        <w:rPr>
          <w:rFonts w:ascii="Calibri" w:hAnsi="Calibri" w:cs="Calibri"/>
          <w:color w:val="7F7F7F" w:themeColor="text1" w:themeTint="80"/>
          <w:sz w:val="26"/>
          <w:szCs w:val="26"/>
        </w:rPr>
        <w:t>*****</w:t>
      </w:r>
      <w:r w:rsidR="00C05F86" w:rsidRPr="00DA7CE3">
        <w:rPr>
          <w:rFonts w:ascii="Calibri" w:hAnsi="Calibri" w:cs="Calibri"/>
          <w:color w:val="7F7F7F" w:themeColor="text1" w:themeTint="80"/>
          <w:sz w:val="26"/>
          <w:szCs w:val="26"/>
        </w:rPr>
        <w:t xml:space="preserve"> al ser afectado en sus derechos por el acto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w:t>
      </w:r>
      <w:r w:rsidR="002658C4">
        <w:rPr>
          <w:rFonts w:ascii="Calibri" w:hAnsi="Calibri" w:cs="Calibri"/>
          <w:color w:val="7F7F7F" w:themeColor="text1" w:themeTint="80"/>
          <w:sz w:val="26"/>
          <w:szCs w:val="26"/>
        </w:rPr>
        <w:t xml:space="preserve">relación jurídica controvertida; siendo preciso </w:t>
      </w:r>
      <w:r w:rsidR="00C05F86" w:rsidRPr="00DA7CE3">
        <w:rPr>
          <w:rFonts w:ascii="Calibri" w:hAnsi="Calibri" w:cs="Calibri"/>
          <w:color w:val="7F7F7F" w:themeColor="text1" w:themeTint="80"/>
          <w:sz w:val="26"/>
          <w:szCs w:val="26"/>
        </w:rPr>
        <w:t>que el interés jurídico derive de la relación jurídica cont</w:t>
      </w:r>
      <w:r w:rsidR="00210474">
        <w:rPr>
          <w:rFonts w:ascii="Calibri" w:hAnsi="Calibri" w:cs="Calibri"/>
          <w:color w:val="7F7F7F" w:themeColor="text1" w:themeTint="80"/>
          <w:sz w:val="26"/>
          <w:szCs w:val="26"/>
        </w:rPr>
        <w:t>enciosa: Interés Jurídico que sí</w:t>
      </w:r>
      <w:r w:rsidR="00C05F86" w:rsidRPr="00DA7CE3">
        <w:rPr>
          <w:rFonts w:ascii="Calibri" w:hAnsi="Calibri" w:cs="Calibri"/>
          <w:color w:val="7F7F7F" w:themeColor="text1" w:themeTint="80"/>
          <w:sz w:val="26"/>
          <w:szCs w:val="26"/>
        </w:rPr>
        <w:t xml:space="preserve"> existe</w:t>
      </w:r>
      <w:r w:rsidR="00210474">
        <w:rPr>
          <w:rFonts w:ascii="Calibri" w:hAnsi="Calibri" w:cs="Calibri"/>
          <w:color w:val="7F7F7F" w:themeColor="text1" w:themeTint="80"/>
          <w:sz w:val="26"/>
          <w:szCs w:val="26"/>
        </w:rPr>
        <w:t>,</w:t>
      </w:r>
      <w:r w:rsidR="00C05F86" w:rsidRPr="00DA7CE3">
        <w:rPr>
          <w:rFonts w:ascii="Calibri" w:hAnsi="Calibri" w:cs="Calibri"/>
          <w:color w:val="7F7F7F" w:themeColor="text1" w:themeTint="80"/>
          <w:sz w:val="26"/>
          <w:szCs w:val="26"/>
        </w:rPr>
        <w:t xml:space="preserve"> </w:t>
      </w:r>
      <w:r w:rsidR="004319B9" w:rsidRPr="00DA7CE3">
        <w:rPr>
          <w:rFonts w:ascii="Calibri" w:hAnsi="Calibri" w:cs="Calibri"/>
          <w:color w:val="7F7F7F" w:themeColor="text1" w:themeTint="80"/>
          <w:sz w:val="26"/>
          <w:szCs w:val="26"/>
        </w:rPr>
        <w:t xml:space="preserve">pues es </w:t>
      </w:r>
      <w:r w:rsidR="00210474">
        <w:rPr>
          <w:rFonts w:ascii="Calibri" w:hAnsi="Calibri" w:cs="Calibri"/>
          <w:color w:val="7F7F7F" w:themeColor="text1" w:themeTint="80"/>
          <w:sz w:val="26"/>
          <w:szCs w:val="26"/>
        </w:rPr>
        <w:t xml:space="preserve">el </w:t>
      </w:r>
      <w:r w:rsidR="004319B9" w:rsidRPr="00DA7CE3">
        <w:rPr>
          <w:rFonts w:ascii="Calibri" w:hAnsi="Calibri" w:cs="Calibri"/>
          <w:color w:val="7F7F7F" w:themeColor="text1" w:themeTint="80"/>
          <w:sz w:val="26"/>
          <w:szCs w:val="26"/>
        </w:rPr>
        <w:t>destinatario del acto combatido.</w:t>
      </w:r>
      <w:r w:rsidR="002658C4">
        <w:rPr>
          <w:rFonts w:ascii="Calibri" w:hAnsi="Calibri" w:cs="Calibri"/>
          <w:color w:val="7F7F7F" w:themeColor="text1" w:themeTint="80"/>
          <w:sz w:val="26"/>
          <w:szCs w:val="26"/>
        </w:rPr>
        <w:t xml:space="preserve"> . . . . . . . . . . . . . . . . . . . . . . . . . . . . . . . . . . . . . . . . . . . . . . . . . . . . . . . . . . . </w:t>
      </w:r>
    </w:p>
    <w:p w:rsidR="00C05F86" w:rsidRPr="00DA7CE3" w:rsidRDefault="00C05F86" w:rsidP="0012493C">
      <w:pPr>
        <w:pStyle w:val="Textoindependiente"/>
        <w:rPr>
          <w:rFonts w:ascii="Calibri" w:hAnsi="Calibri" w:cs="Calibri"/>
          <w:color w:val="7F7F7F" w:themeColor="text1" w:themeTint="80"/>
          <w:sz w:val="26"/>
          <w:szCs w:val="26"/>
        </w:rPr>
      </w:pPr>
    </w:p>
    <w:p w:rsidR="0012493C" w:rsidRPr="00DA7CE3" w:rsidRDefault="00C05F86" w:rsidP="00C05F86">
      <w:pPr>
        <w:pStyle w:val="Textoindependiente"/>
        <w:ind w:firstLine="708"/>
        <w:rPr>
          <w:rFonts w:ascii="Calibri" w:hAnsi="Calibri" w:cs="Calibri"/>
          <w:color w:val="7F7F7F" w:themeColor="text1" w:themeTint="80"/>
          <w:sz w:val="26"/>
          <w:szCs w:val="26"/>
        </w:rPr>
      </w:pPr>
      <w:r w:rsidRPr="00DA7CE3">
        <w:rPr>
          <w:rFonts w:ascii="Calibri" w:hAnsi="Calibri" w:cs="Calibri"/>
          <w:color w:val="7F7F7F" w:themeColor="text1" w:themeTint="80"/>
          <w:sz w:val="26"/>
          <w:szCs w:val="26"/>
        </w:rPr>
        <w:t xml:space="preserve">c).- </w:t>
      </w:r>
      <w:r w:rsidR="0012493C" w:rsidRPr="00DA7CE3">
        <w:rPr>
          <w:rFonts w:ascii="Calibri" w:hAnsi="Calibri" w:cs="Calibri"/>
          <w:color w:val="7F7F7F" w:themeColor="text1" w:themeTint="80"/>
          <w:sz w:val="26"/>
          <w:szCs w:val="26"/>
        </w:rPr>
        <w:t xml:space="preserve">De igual manera tampoco opera la defensa de la </w:t>
      </w:r>
      <w:r w:rsidR="0012493C" w:rsidRPr="00DA7CE3">
        <w:rPr>
          <w:rFonts w:ascii="Calibri" w:hAnsi="Calibri" w:cs="Calibri"/>
          <w:i/>
          <w:color w:val="7F7F7F" w:themeColor="text1" w:themeTint="80"/>
          <w:sz w:val="26"/>
          <w:szCs w:val="26"/>
        </w:rPr>
        <w:t xml:space="preserve">“Non </w:t>
      </w:r>
      <w:proofErr w:type="spellStart"/>
      <w:r w:rsidR="0012493C" w:rsidRPr="00DA7CE3">
        <w:rPr>
          <w:rFonts w:ascii="Calibri" w:hAnsi="Calibri" w:cs="Calibri"/>
          <w:i/>
          <w:color w:val="7F7F7F" w:themeColor="text1" w:themeTint="80"/>
          <w:sz w:val="26"/>
          <w:szCs w:val="26"/>
        </w:rPr>
        <w:t>Mutati</w:t>
      </w:r>
      <w:proofErr w:type="spellEnd"/>
      <w:r w:rsidR="0012493C" w:rsidRPr="00DA7CE3">
        <w:rPr>
          <w:rFonts w:ascii="Calibri" w:hAnsi="Calibri" w:cs="Calibri"/>
          <w:i/>
          <w:color w:val="7F7F7F" w:themeColor="text1" w:themeTint="80"/>
          <w:sz w:val="26"/>
          <w:szCs w:val="26"/>
        </w:rPr>
        <w:t xml:space="preserve"> </w:t>
      </w:r>
      <w:proofErr w:type="spellStart"/>
      <w:r w:rsidR="0012493C" w:rsidRPr="00DA7CE3">
        <w:rPr>
          <w:rFonts w:ascii="Calibri" w:hAnsi="Calibri" w:cs="Calibri"/>
          <w:i/>
          <w:color w:val="7F7F7F" w:themeColor="text1" w:themeTint="80"/>
          <w:sz w:val="26"/>
          <w:szCs w:val="26"/>
        </w:rPr>
        <w:t>Libeli</w:t>
      </w:r>
      <w:proofErr w:type="spellEnd"/>
      <w:r w:rsidR="0012493C" w:rsidRPr="00DA7CE3">
        <w:rPr>
          <w:rFonts w:ascii="Calibri" w:hAnsi="Calibri" w:cs="Calibri"/>
          <w:i/>
          <w:color w:val="7F7F7F" w:themeColor="text1" w:themeTint="80"/>
          <w:sz w:val="26"/>
          <w:szCs w:val="26"/>
        </w:rPr>
        <w:t>”</w:t>
      </w:r>
      <w:r w:rsidR="0012493C" w:rsidRPr="00DA7CE3">
        <w:rPr>
          <w:rFonts w:ascii="Calibri" w:hAnsi="Calibri" w:cs="Calibri"/>
          <w:color w:val="7F7F7F" w:themeColor="text1" w:themeTint="80"/>
          <w:sz w:val="26"/>
          <w:szCs w:val="26"/>
        </w:rPr>
        <w:t xml:space="preserve">,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 . </w:t>
      </w:r>
    </w:p>
    <w:p w:rsidR="00591CB1" w:rsidRPr="00210474" w:rsidRDefault="00DC188B" w:rsidP="00210474">
      <w:pPr>
        <w:pStyle w:val="Textoindependiente"/>
        <w:ind w:firstLine="708"/>
        <w:rPr>
          <w:rFonts w:ascii="Calibri" w:hAnsi="Calibri"/>
          <w:color w:val="7F7F7F" w:themeColor="text1" w:themeTint="80"/>
          <w:sz w:val="26"/>
        </w:rPr>
      </w:pPr>
      <w:r w:rsidRPr="00DA7CE3">
        <w:rPr>
          <w:rFonts w:ascii="Calibri" w:hAnsi="Calibri"/>
          <w:color w:val="7F7F7F" w:themeColor="text1" w:themeTint="80"/>
          <w:sz w:val="26"/>
        </w:rPr>
        <w:t xml:space="preserve"> </w:t>
      </w:r>
    </w:p>
    <w:p w:rsidR="00B65EF9" w:rsidRDefault="00FC7A1F" w:rsidP="00B65EF9">
      <w:pPr>
        <w:pStyle w:val="Sangra2detindependiente"/>
        <w:rPr>
          <w:rFonts w:ascii="Calibri" w:hAnsi="Calibri" w:cs="Arial"/>
          <w:color w:val="7F7F7F" w:themeColor="text1" w:themeTint="80"/>
          <w:sz w:val="26"/>
          <w:szCs w:val="26"/>
        </w:rPr>
      </w:pPr>
      <w:r>
        <w:rPr>
          <w:rFonts w:ascii="Calibri" w:hAnsi="Calibri" w:cs="Arial"/>
          <w:b/>
          <w:bCs/>
          <w:i/>
          <w:iCs/>
          <w:color w:val="7F7F7F" w:themeColor="text1" w:themeTint="80"/>
          <w:sz w:val="26"/>
          <w:szCs w:val="26"/>
        </w:rPr>
        <w:t>SÉ</w:t>
      </w:r>
      <w:r w:rsidR="00591CB1" w:rsidRPr="002C4A64">
        <w:rPr>
          <w:rFonts w:ascii="Calibri" w:hAnsi="Calibri" w:cs="Arial"/>
          <w:b/>
          <w:bCs/>
          <w:i/>
          <w:iCs/>
          <w:color w:val="7F7F7F" w:themeColor="text1" w:themeTint="80"/>
          <w:sz w:val="26"/>
          <w:szCs w:val="26"/>
        </w:rPr>
        <w:t xml:space="preserve">PTIMO.- </w:t>
      </w:r>
      <w:r w:rsidR="00591CB1" w:rsidRPr="002C4A64">
        <w:rPr>
          <w:rFonts w:ascii="Calibri" w:hAnsi="Calibri" w:cs="Arial"/>
          <w:color w:val="7F7F7F" w:themeColor="text1" w:themeTint="80"/>
          <w:sz w:val="26"/>
          <w:szCs w:val="26"/>
        </w:rPr>
        <w:t xml:space="preserve">En virtud de que el concepto de impugnación analizado, resultó fundado y es suficiente para decretar la nulidad total de los actos impugnados; </w:t>
      </w:r>
      <w:r w:rsidR="00591CB1" w:rsidRPr="002C4A64">
        <w:rPr>
          <w:rFonts w:ascii="Calibri" w:hAnsi="Calibri" w:cs="Arial"/>
          <w:color w:val="7F7F7F" w:themeColor="text1" w:themeTint="80"/>
          <w:sz w:val="26"/>
          <w:szCs w:val="26"/>
        </w:rPr>
        <w:lastRenderedPageBreak/>
        <w:t>resulta innecesario el estudio de los restantes, ya que ello no cambiaría, ni afectaría el sentido de esta resolución. . . . . . . . . . . . . . . . . . . . . . . . .</w:t>
      </w:r>
      <w:r w:rsidR="00DC188B" w:rsidRPr="002C4A64">
        <w:rPr>
          <w:rFonts w:ascii="Calibri" w:hAnsi="Calibri" w:cs="Arial"/>
          <w:color w:val="7F7F7F" w:themeColor="text1" w:themeTint="80"/>
          <w:sz w:val="26"/>
          <w:szCs w:val="26"/>
        </w:rPr>
        <w:t xml:space="preserve"> . . . . . . . . . . . . </w:t>
      </w:r>
    </w:p>
    <w:p w:rsidR="00B65EF9" w:rsidRPr="00B65EF9" w:rsidRDefault="00B65EF9" w:rsidP="00B65EF9">
      <w:pPr>
        <w:pStyle w:val="Sangra2detindependiente"/>
        <w:rPr>
          <w:rFonts w:ascii="Calibri" w:hAnsi="Calibri" w:cs="Arial"/>
          <w:color w:val="7F7F7F" w:themeColor="text1" w:themeTint="80"/>
          <w:sz w:val="26"/>
          <w:szCs w:val="26"/>
        </w:rPr>
      </w:pPr>
    </w:p>
    <w:p w:rsidR="00B65EF9" w:rsidRDefault="00B65EF9" w:rsidP="00591CB1">
      <w:pPr>
        <w:pStyle w:val="Textoindependiente"/>
        <w:ind w:firstLine="708"/>
        <w:rPr>
          <w:rFonts w:ascii="Calibri" w:hAnsi="Calibri" w:cs="Arial"/>
          <w:color w:val="7F7F7F" w:themeColor="text1" w:themeTint="80"/>
          <w:sz w:val="26"/>
          <w:szCs w:val="26"/>
        </w:rPr>
      </w:pPr>
    </w:p>
    <w:p w:rsidR="00B65EF9" w:rsidRDefault="00B65EF9" w:rsidP="00B65EF9">
      <w:pPr>
        <w:pStyle w:val="Textoindependiente"/>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t>Expediente número 416/2013-JN</w:t>
      </w:r>
    </w:p>
    <w:p w:rsidR="00B65EF9" w:rsidRDefault="00B65EF9" w:rsidP="00591CB1">
      <w:pPr>
        <w:pStyle w:val="Textoindependiente"/>
        <w:ind w:firstLine="708"/>
        <w:rPr>
          <w:rFonts w:ascii="Calibri" w:hAnsi="Calibri" w:cs="Arial"/>
          <w:color w:val="7F7F7F" w:themeColor="text1" w:themeTint="80"/>
          <w:sz w:val="26"/>
          <w:szCs w:val="26"/>
        </w:rPr>
      </w:pPr>
    </w:p>
    <w:p w:rsidR="00591CB1" w:rsidRPr="002C4A64" w:rsidRDefault="00591CB1" w:rsidP="00591CB1">
      <w:pPr>
        <w:pStyle w:val="Textoindependiente"/>
        <w:ind w:firstLine="708"/>
        <w:rPr>
          <w:rFonts w:ascii="Calibri" w:hAnsi="Calibri" w:cs="Arial"/>
          <w:color w:val="7F7F7F" w:themeColor="text1" w:themeTint="80"/>
          <w:sz w:val="26"/>
          <w:szCs w:val="26"/>
        </w:rPr>
      </w:pPr>
      <w:r w:rsidRPr="002C4A64">
        <w:rPr>
          <w:rFonts w:ascii="Calibri" w:hAnsi="Calibri" w:cs="Arial"/>
          <w:color w:val="7F7F7F" w:themeColor="text1" w:themeTint="80"/>
          <w:sz w:val="26"/>
          <w:szCs w:val="26"/>
        </w:rPr>
        <w:t xml:space="preserve">Vale de sustento a lo anterior, la tesis de jurisprudencia que a la letra señala: </w:t>
      </w:r>
      <w:r w:rsidR="00B65EF9">
        <w:rPr>
          <w:rFonts w:ascii="Calibri" w:hAnsi="Calibri" w:cs="Arial"/>
          <w:color w:val="7F7F7F" w:themeColor="text1" w:themeTint="80"/>
          <w:sz w:val="26"/>
          <w:szCs w:val="26"/>
        </w:rPr>
        <w:t>. . . . . . . . . . . . . . . . . . . . . . . . . . . . . . . . . . . . . . . . . . . . . . . . . . . . . . . . . . . . . . .</w:t>
      </w:r>
    </w:p>
    <w:p w:rsidR="00DC188B" w:rsidRPr="002C4A64" w:rsidRDefault="00DC188B" w:rsidP="00591CB1">
      <w:pPr>
        <w:pStyle w:val="Textoindependiente"/>
        <w:ind w:firstLine="708"/>
        <w:rPr>
          <w:rFonts w:ascii="Calibri" w:hAnsi="Calibri" w:cs="Arial"/>
          <w:color w:val="7F7F7F" w:themeColor="text1" w:themeTint="80"/>
          <w:sz w:val="22"/>
          <w:szCs w:val="22"/>
        </w:rPr>
      </w:pPr>
    </w:p>
    <w:p w:rsidR="00591CB1" w:rsidRPr="002C4A64" w:rsidRDefault="00591CB1" w:rsidP="00591CB1">
      <w:pPr>
        <w:pStyle w:val="Textoindependiente"/>
        <w:ind w:firstLine="708"/>
        <w:rPr>
          <w:rFonts w:ascii="Calibri" w:hAnsi="Calibri" w:cs="Arial"/>
          <w:color w:val="7F7F7F" w:themeColor="text1" w:themeTint="80"/>
          <w:sz w:val="26"/>
          <w:szCs w:val="26"/>
        </w:rPr>
      </w:pPr>
      <w:r w:rsidRPr="002C4A64">
        <w:rPr>
          <w:rFonts w:ascii="Calibri" w:hAnsi="Calibri"/>
          <w:b/>
          <w:bCs/>
          <w:i/>
          <w:iCs/>
          <w:color w:val="7F7F7F" w:themeColor="text1" w:themeTint="80"/>
          <w:sz w:val="26"/>
          <w:szCs w:val="26"/>
        </w:rPr>
        <w:t xml:space="preserve">“CONCEPTOS DE VIOLACION. CUANDO SU ESTUDIO ES INNECESARIO. </w:t>
      </w:r>
      <w:r w:rsidRPr="002C4A64">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C4A64">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C4A64">
        <w:rPr>
          <w:rFonts w:ascii="Calibri" w:hAnsi="Calibri"/>
          <w:color w:val="7F7F7F" w:themeColor="text1" w:themeTint="80"/>
          <w:sz w:val="26"/>
          <w:szCs w:val="26"/>
        </w:rPr>
        <w:t xml:space="preserve">. . . . . . . . . . </w:t>
      </w:r>
      <w:r w:rsidRPr="002C4A64">
        <w:rPr>
          <w:rFonts w:ascii="Calibri" w:hAnsi="Calibri" w:cs="Arial"/>
          <w:color w:val="7F7F7F" w:themeColor="text1" w:themeTint="80"/>
          <w:sz w:val="26"/>
          <w:szCs w:val="26"/>
        </w:rPr>
        <w:t xml:space="preserve">. . . . . . . . . . . . . . . . . </w:t>
      </w:r>
      <w:r w:rsidR="00DC188B" w:rsidRPr="002C4A64">
        <w:rPr>
          <w:rFonts w:ascii="Calibri" w:hAnsi="Calibri" w:cs="Arial"/>
          <w:color w:val="7F7F7F" w:themeColor="text1" w:themeTint="80"/>
          <w:sz w:val="26"/>
          <w:szCs w:val="26"/>
        </w:rPr>
        <w:t xml:space="preserve">. . . . . . . . . . </w:t>
      </w:r>
    </w:p>
    <w:p w:rsidR="00591CB1" w:rsidRPr="002C4A64" w:rsidRDefault="00591CB1" w:rsidP="00591CB1">
      <w:pPr>
        <w:pStyle w:val="Textoindependiente"/>
        <w:rPr>
          <w:rFonts w:ascii="Calibri" w:hAnsi="Calibri" w:cs="Calibri"/>
          <w:color w:val="7F7F7F" w:themeColor="text1" w:themeTint="80"/>
          <w:sz w:val="22"/>
          <w:szCs w:val="22"/>
        </w:rPr>
      </w:pPr>
    </w:p>
    <w:p w:rsidR="00591CB1" w:rsidRPr="002C4A64" w:rsidRDefault="00591CB1" w:rsidP="00591CB1">
      <w:pPr>
        <w:pStyle w:val="Textoindependiente"/>
        <w:ind w:firstLine="708"/>
        <w:rPr>
          <w:rFonts w:ascii="Calibri" w:hAnsi="Calibri" w:cs="Arial"/>
          <w:color w:val="7F7F7F" w:themeColor="text1" w:themeTint="80"/>
          <w:sz w:val="26"/>
          <w:szCs w:val="26"/>
        </w:rPr>
      </w:pPr>
      <w:r w:rsidRPr="002C4A64">
        <w:rPr>
          <w:rFonts w:ascii="Calibri" w:hAnsi="Calibri" w:cs="Arial"/>
          <w:color w:val="7F7F7F" w:themeColor="text1" w:themeTint="80"/>
          <w:sz w:val="26"/>
          <w:szCs w:val="26"/>
        </w:rPr>
        <w:t xml:space="preserve">Por lo anteriormente expuesto, y con fundamento además en lo dispuesto en los artículos 249, 287, 298, 299, 300, fracción II; y, 302, fracciones  II y III, del </w:t>
      </w:r>
      <w:r w:rsidRPr="002C4A64">
        <w:rPr>
          <w:rFonts w:ascii="Calibri" w:hAnsi="Calibri"/>
          <w:color w:val="7F7F7F" w:themeColor="text1" w:themeTint="80"/>
          <w:sz w:val="26"/>
          <w:szCs w:val="26"/>
        </w:rPr>
        <w:t>Código de Procedimiento y Justicia Administrativa para el Estado y los Municipios de Guanajuato,</w:t>
      </w:r>
      <w:r w:rsidRPr="002C4A64">
        <w:rPr>
          <w:rFonts w:ascii="Calibri" w:hAnsi="Calibri" w:cs="Arial"/>
          <w:color w:val="7F7F7F" w:themeColor="text1" w:themeTint="80"/>
          <w:sz w:val="26"/>
          <w:szCs w:val="26"/>
        </w:rPr>
        <w:t xml:space="preserve"> es de resolverse y se. </w:t>
      </w:r>
      <w:r w:rsidRPr="002C4A64">
        <w:rPr>
          <w:rFonts w:ascii="Calibri" w:hAnsi="Calibri"/>
          <w:color w:val="7F7F7F" w:themeColor="text1" w:themeTint="80"/>
          <w:sz w:val="26"/>
          <w:szCs w:val="26"/>
        </w:rPr>
        <w:t xml:space="preserve">. </w:t>
      </w:r>
      <w:r w:rsidRPr="002C4A64">
        <w:rPr>
          <w:rFonts w:ascii="Calibri" w:hAnsi="Calibri" w:cs="Arial"/>
          <w:color w:val="7F7F7F" w:themeColor="text1" w:themeTint="80"/>
          <w:sz w:val="26"/>
          <w:szCs w:val="26"/>
        </w:rPr>
        <w:t xml:space="preserve">. . . . . . . . . . . . . . . . . . . . . . . . . . </w:t>
      </w:r>
      <w:r w:rsidR="00B65EF9">
        <w:rPr>
          <w:rFonts w:ascii="Calibri" w:hAnsi="Calibri" w:cs="Arial"/>
          <w:color w:val="7F7F7F" w:themeColor="text1" w:themeTint="80"/>
          <w:sz w:val="26"/>
          <w:szCs w:val="26"/>
        </w:rPr>
        <w:t xml:space="preserve">. . . . . . . . . . </w:t>
      </w:r>
    </w:p>
    <w:p w:rsidR="00591CB1" w:rsidRPr="002C4A64" w:rsidRDefault="00591CB1" w:rsidP="00591CB1">
      <w:pPr>
        <w:pStyle w:val="Textoindependiente"/>
        <w:ind w:firstLine="708"/>
        <w:rPr>
          <w:rFonts w:ascii="Calibri" w:hAnsi="Calibri" w:cs="Arial"/>
          <w:color w:val="7F7F7F" w:themeColor="text1" w:themeTint="80"/>
          <w:sz w:val="20"/>
          <w:szCs w:val="20"/>
        </w:rPr>
      </w:pPr>
    </w:p>
    <w:p w:rsidR="00591CB1" w:rsidRPr="002C4A64" w:rsidRDefault="00591CB1" w:rsidP="00591CB1">
      <w:pPr>
        <w:pStyle w:val="Textoindependiente"/>
        <w:jc w:val="center"/>
        <w:rPr>
          <w:rFonts w:ascii="Calibri" w:hAnsi="Calibri" w:cs="Arial"/>
          <w:i/>
          <w:iCs/>
          <w:color w:val="7F7F7F" w:themeColor="text1" w:themeTint="80"/>
          <w:sz w:val="26"/>
          <w:szCs w:val="26"/>
        </w:rPr>
      </w:pPr>
      <w:r w:rsidRPr="002C4A64">
        <w:rPr>
          <w:rFonts w:ascii="Calibri" w:hAnsi="Calibri" w:cs="Arial"/>
          <w:b/>
          <w:i/>
          <w:iCs/>
          <w:color w:val="7F7F7F" w:themeColor="text1" w:themeTint="80"/>
          <w:sz w:val="26"/>
          <w:szCs w:val="26"/>
        </w:rPr>
        <w:t xml:space="preserve">R E S U E L V </w:t>
      </w:r>
      <w:proofErr w:type="gramStart"/>
      <w:r w:rsidRPr="002C4A64">
        <w:rPr>
          <w:rFonts w:ascii="Calibri" w:hAnsi="Calibri" w:cs="Arial"/>
          <w:b/>
          <w:i/>
          <w:iCs/>
          <w:color w:val="7F7F7F" w:themeColor="text1" w:themeTint="80"/>
          <w:sz w:val="26"/>
          <w:szCs w:val="26"/>
        </w:rPr>
        <w:t xml:space="preserve">E </w:t>
      </w:r>
      <w:r w:rsidRPr="002C4A64">
        <w:rPr>
          <w:rFonts w:ascii="Calibri" w:hAnsi="Calibri" w:cs="Arial"/>
          <w:i/>
          <w:iCs/>
          <w:color w:val="7F7F7F" w:themeColor="text1" w:themeTint="80"/>
          <w:sz w:val="26"/>
          <w:szCs w:val="26"/>
        </w:rPr>
        <w:t>:</w:t>
      </w:r>
      <w:proofErr w:type="gramEnd"/>
    </w:p>
    <w:p w:rsidR="00591CB1" w:rsidRPr="002C4A64" w:rsidRDefault="00591CB1" w:rsidP="00591CB1">
      <w:pPr>
        <w:pStyle w:val="Textoindependiente"/>
        <w:jc w:val="center"/>
        <w:rPr>
          <w:rFonts w:ascii="Calibri" w:hAnsi="Calibri" w:cs="Arial"/>
          <w:i/>
          <w:iCs/>
          <w:color w:val="7F7F7F" w:themeColor="text1" w:themeTint="80"/>
          <w:sz w:val="20"/>
          <w:szCs w:val="20"/>
        </w:rPr>
      </w:pPr>
    </w:p>
    <w:p w:rsidR="00591CB1" w:rsidRPr="002C4A64" w:rsidRDefault="00591CB1" w:rsidP="00591CB1">
      <w:pPr>
        <w:pStyle w:val="Textoindependiente"/>
        <w:ind w:firstLine="708"/>
        <w:rPr>
          <w:rFonts w:ascii="Calibri" w:hAnsi="Calibri" w:cs="Arial"/>
          <w:color w:val="7F7F7F" w:themeColor="text1" w:themeTint="80"/>
          <w:sz w:val="26"/>
          <w:szCs w:val="26"/>
        </w:rPr>
      </w:pPr>
      <w:r w:rsidRPr="002C4A64">
        <w:rPr>
          <w:rFonts w:ascii="Calibri" w:hAnsi="Calibri" w:cs="Arial"/>
          <w:b/>
          <w:bCs/>
          <w:i/>
          <w:iCs/>
          <w:color w:val="7F7F7F" w:themeColor="text1" w:themeTint="80"/>
          <w:sz w:val="26"/>
          <w:szCs w:val="26"/>
        </w:rPr>
        <w:t>PRIMERO</w:t>
      </w:r>
      <w:r w:rsidRPr="002C4A64">
        <w:rPr>
          <w:rFonts w:ascii="Calibri" w:hAnsi="Calibri" w:cs="Arial"/>
          <w:color w:val="7F7F7F" w:themeColor="text1" w:themeTint="80"/>
          <w:sz w:val="26"/>
          <w:szCs w:val="26"/>
        </w:rPr>
        <w:t xml:space="preserve">.- Este Juzgado Segundo Administrativo Municipal resultó competente para conocer y resolver del presente proceso administrativo. . . . . . . </w:t>
      </w:r>
    </w:p>
    <w:p w:rsidR="00591CB1" w:rsidRPr="002C4A64" w:rsidRDefault="00591CB1" w:rsidP="00591CB1">
      <w:pPr>
        <w:pStyle w:val="Textoindependiente"/>
        <w:rPr>
          <w:rFonts w:ascii="Calibri" w:hAnsi="Calibri" w:cs="Arial"/>
          <w:color w:val="7F7F7F" w:themeColor="text1" w:themeTint="80"/>
          <w:sz w:val="22"/>
          <w:szCs w:val="22"/>
        </w:rPr>
      </w:pPr>
    </w:p>
    <w:p w:rsidR="00591CB1" w:rsidRPr="00005874" w:rsidRDefault="00591CB1" w:rsidP="00591CB1">
      <w:pPr>
        <w:ind w:firstLine="708"/>
        <w:jc w:val="both"/>
        <w:rPr>
          <w:rFonts w:ascii="Calibri" w:hAnsi="Calibri" w:cs="Arial"/>
          <w:color w:val="7F7F7F" w:themeColor="text1" w:themeTint="80"/>
          <w:sz w:val="26"/>
          <w:szCs w:val="26"/>
        </w:rPr>
      </w:pPr>
      <w:r w:rsidRPr="00005874">
        <w:rPr>
          <w:rFonts w:ascii="Calibri" w:hAnsi="Calibri" w:cs="Arial"/>
          <w:b/>
          <w:bCs/>
          <w:i/>
          <w:iCs/>
          <w:color w:val="7F7F7F" w:themeColor="text1" w:themeTint="80"/>
          <w:sz w:val="26"/>
          <w:szCs w:val="26"/>
        </w:rPr>
        <w:t xml:space="preserve">SEGUNDO.- </w:t>
      </w:r>
      <w:r w:rsidRPr="00005874">
        <w:rPr>
          <w:rFonts w:ascii="Calibri" w:hAnsi="Calibri" w:cs="Arial"/>
          <w:color w:val="7F7F7F" w:themeColor="text1" w:themeTint="80"/>
          <w:sz w:val="26"/>
          <w:szCs w:val="26"/>
        </w:rPr>
        <w:t>Resultó procedente el presente proceso administrativo interpuesto</w:t>
      </w:r>
      <w:r w:rsidR="00805649" w:rsidRPr="00005874">
        <w:rPr>
          <w:rFonts w:ascii="Calibri" w:hAnsi="Calibri" w:cs="Arial"/>
          <w:color w:val="7F7F7F" w:themeColor="text1" w:themeTint="80"/>
          <w:sz w:val="26"/>
          <w:szCs w:val="26"/>
        </w:rPr>
        <w:t xml:space="preserve"> por el ciudadano</w:t>
      </w:r>
      <w:r w:rsidR="0006663A" w:rsidRPr="00005874">
        <w:rPr>
          <w:rFonts w:ascii="Calibri" w:hAnsi="Calibri" w:cs="Arial"/>
          <w:color w:val="7F7F7F" w:themeColor="text1" w:themeTint="80"/>
          <w:sz w:val="26"/>
          <w:szCs w:val="26"/>
        </w:rPr>
        <w:t xml:space="preserve"> </w:t>
      </w:r>
      <w:r w:rsidR="00307289">
        <w:rPr>
          <w:rFonts w:ascii="Calibri" w:hAnsi="Calibri" w:cs="Arial"/>
          <w:color w:val="7F7F7F" w:themeColor="text1" w:themeTint="80"/>
          <w:sz w:val="26"/>
          <w:szCs w:val="26"/>
        </w:rPr>
        <w:t>*****</w:t>
      </w:r>
      <w:r w:rsidR="0006663A" w:rsidRPr="00005874">
        <w:rPr>
          <w:rFonts w:ascii="Calibri" w:hAnsi="Calibri"/>
          <w:color w:val="7F7F7F" w:themeColor="text1" w:themeTint="80"/>
          <w:sz w:val="26"/>
          <w:szCs w:val="26"/>
        </w:rPr>
        <w:t>.</w:t>
      </w:r>
      <w:r w:rsidRPr="00005874">
        <w:rPr>
          <w:rFonts w:ascii="Calibri" w:hAnsi="Calibri"/>
          <w:color w:val="7F7F7F" w:themeColor="text1" w:themeTint="80"/>
          <w:sz w:val="26"/>
          <w:szCs w:val="26"/>
        </w:rPr>
        <w:t xml:space="preserve"> . . . . . . . . . . . . . . . . . . . . . . </w:t>
      </w:r>
    </w:p>
    <w:p w:rsidR="00591CB1" w:rsidRPr="002C4A64" w:rsidRDefault="00591CB1" w:rsidP="00591CB1">
      <w:pPr>
        <w:jc w:val="both"/>
        <w:rPr>
          <w:rFonts w:ascii="Calibri" w:hAnsi="Calibri" w:cs="Arial"/>
          <w:b/>
          <w:bCs/>
          <w:i/>
          <w:iCs/>
          <w:color w:val="7F7F7F" w:themeColor="text1" w:themeTint="80"/>
          <w:sz w:val="22"/>
          <w:szCs w:val="22"/>
        </w:rPr>
      </w:pPr>
    </w:p>
    <w:p w:rsidR="00591CB1" w:rsidRPr="00005874" w:rsidRDefault="00591CB1" w:rsidP="00005874">
      <w:pPr>
        <w:pStyle w:val="Textoindependiente"/>
        <w:ind w:firstLine="708"/>
        <w:rPr>
          <w:rFonts w:ascii="Calibri" w:hAnsi="Calibri"/>
          <w:color w:val="7F7F7F" w:themeColor="text1" w:themeTint="80"/>
          <w:sz w:val="26"/>
        </w:rPr>
      </w:pPr>
      <w:r w:rsidRPr="002C4A64">
        <w:rPr>
          <w:rFonts w:ascii="Calibri" w:hAnsi="Calibri" w:cs="Arial"/>
          <w:b/>
          <w:bCs/>
          <w:i/>
          <w:iCs/>
          <w:color w:val="7F7F7F" w:themeColor="text1" w:themeTint="80"/>
          <w:sz w:val="26"/>
          <w:szCs w:val="26"/>
        </w:rPr>
        <w:t xml:space="preserve">TERCERO.- </w:t>
      </w:r>
      <w:r w:rsidRPr="002C4A64">
        <w:rPr>
          <w:rFonts w:ascii="Calibri" w:hAnsi="Calibri" w:cs="Arial"/>
          <w:color w:val="7F7F7F" w:themeColor="text1" w:themeTint="80"/>
          <w:sz w:val="26"/>
        </w:rPr>
        <w:t xml:space="preserve">Se decreta </w:t>
      </w:r>
      <w:r w:rsidRPr="002C4A64">
        <w:rPr>
          <w:rFonts w:ascii="Calibri" w:hAnsi="Calibri" w:cs="Arial"/>
          <w:bCs/>
          <w:color w:val="7F7F7F" w:themeColor="text1" w:themeTint="80"/>
          <w:sz w:val="26"/>
        </w:rPr>
        <w:t>la</w:t>
      </w:r>
      <w:r w:rsidRPr="002C4A64">
        <w:rPr>
          <w:rFonts w:ascii="Calibri" w:hAnsi="Calibri" w:cs="Arial"/>
          <w:b/>
          <w:bCs/>
          <w:color w:val="7F7F7F" w:themeColor="text1" w:themeTint="80"/>
          <w:sz w:val="26"/>
        </w:rPr>
        <w:t xml:space="preserve"> nulidad total </w:t>
      </w:r>
      <w:r w:rsidRPr="002C4A64">
        <w:rPr>
          <w:rFonts w:ascii="Calibri" w:hAnsi="Calibri"/>
          <w:bCs/>
          <w:iCs/>
          <w:color w:val="7F7F7F" w:themeColor="text1" w:themeTint="80"/>
          <w:sz w:val="26"/>
        </w:rPr>
        <w:t>de</w:t>
      </w:r>
      <w:r w:rsidRPr="002C4A64">
        <w:rPr>
          <w:rFonts w:ascii="Calibri" w:hAnsi="Calibri"/>
          <w:color w:val="7F7F7F" w:themeColor="text1" w:themeTint="80"/>
          <w:sz w:val="26"/>
        </w:rPr>
        <w:t>l valor fiscal que de</w:t>
      </w:r>
      <w:r w:rsidR="00DC188B" w:rsidRPr="002C4A64">
        <w:rPr>
          <w:rFonts w:ascii="Calibri" w:hAnsi="Calibri"/>
          <w:color w:val="7F7F7F" w:themeColor="text1" w:themeTint="80"/>
          <w:sz w:val="26"/>
        </w:rPr>
        <w:t xml:space="preserve"> </w:t>
      </w:r>
      <w:r w:rsidR="00DC188B" w:rsidRPr="002C4A64">
        <w:rPr>
          <w:rFonts w:ascii="Calibri" w:hAnsi="Calibri"/>
          <w:color w:val="7F7F7F" w:themeColor="text1" w:themeTint="80"/>
          <w:sz w:val="26"/>
          <w:szCs w:val="26"/>
        </w:rPr>
        <w:t xml:space="preserve">$2’839,957.28 (Dos millones ochocientos treinta y nueve mil novecientos cincuenta y siete pesos 28/100 Moneda Nacional), </w:t>
      </w:r>
      <w:r w:rsidR="00DC188B" w:rsidRPr="002C4A64">
        <w:rPr>
          <w:rFonts w:ascii="Calibri" w:hAnsi="Calibri"/>
          <w:color w:val="7F7F7F" w:themeColor="text1" w:themeTint="80"/>
          <w:sz w:val="26"/>
        </w:rPr>
        <w:t xml:space="preserve">se determinó al inmueble propiedad del ciudadano </w:t>
      </w:r>
      <w:r w:rsidR="00307289">
        <w:rPr>
          <w:rFonts w:ascii="Calibri" w:hAnsi="Calibri"/>
          <w:color w:val="7F7F7F" w:themeColor="text1" w:themeTint="80"/>
          <w:sz w:val="26"/>
        </w:rPr>
        <w:t>*****</w:t>
      </w:r>
      <w:r w:rsidR="00DC188B" w:rsidRPr="002C4A64">
        <w:rPr>
          <w:rFonts w:ascii="Calibri" w:hAnsi="Calibri"/>
          <w:color w:val="7F7F7F" w:themeColor="text1" w:themeTint="80"/>
          <w:sz w:val="26"/>
        </w:rPr>
        <w:t xml:space="preserve"> y con cuenta predial número 01-A- A04804-001, (cero uno guion A guion A cero-cuatro-ocho-cero-cuatro guion cero-cero-uno); </w:t>
      </w:r>
      <w:r w:rsidR="00DC188B" w:rsidRPr="002C4A64">
        <w:rPr>
          <w:rFonts w:ascii="Calibri" w:hAnsi="Calibri"/>
          <w:b/>
          <w:color w:val="7F7F7F" w:themeColor="text1" w:themeTint="80"/>
          <w:sz w:val="26"/>
        </w:rPr>
        <w:t>con la consecuencia</w:t>
      </w:r>
      <w:r w:rsidR="00DC188B" w:rsidRPr="002C4A64">
        <w:rPr>
          <w:rFonts w:ascii="Calibri" w:hAnsi="Calibri"/>
          <w:color w:val="7F7F7F" w:themeColor="text1" w:themeTint="80"/>
          <w:sz w:val="26"/>
        </w:rPr>
        <w:t xml:space="preserve"> </w:t>
      </w:r>
      <w:r w:rsidR="0006663A" w:rsidRPr="00005874">
        <w:rPr>
          <w:rFonts w:ascii="Calibri" w:hAnsi="Calibri"/>
          <w:color w:val="7F7F7F" w:themeColor="text1" w:themeTint="80"/>
          <w:sz w:val="26"/>
        </w:rPr>
        <w:t xml:space="preserve">de que serán nulos los actos que se sustenten en el valor decretado nulo y que las autoridades demandadas, </w:t>
      </w:r>
      <w:r w:rsidR="0006663A" w:rsidRPr="00005874">
        <w:rPr>
          <w:rFonts w:ascii="Calibri" w:hAnsi="Calibri"/>
          <w:b/>
          <w:color w:val="7F7F7F" w:themeColor="text1" w:themeTint="80"/>
          <w:sz w:val="26"/>
        </w:rPr>
        <w:t>para todos los efectos</w:t>
      </w:r>
      <w:r w:rsidR="0006663A" w:rsidRPr="00005874">
        <w:rPr>
          <w:rFonts w:ascii="Calibri" w:hAnsi="Calibri"/>
          <w:color w:val="7F7F7F" w:themeColor="text1" w:themeTint="80"/>
          <w:sz w:val="26"/>
        </w:rPr>
        <w:t>, incluso para la determinación de un crédito fiscal y requerimiento del mismo</w:t>
      </w:r>
      <w:r w:rsidR="00005874">
        <w:rPr>
          <w:rFonts w:ascii="Calibri" w:hAnsi="Calibri"/>
          <w:color w:val="7F7F7F" w:themeColor="text1" w:themeTint="80"/>
          <w:sz w:val="26"/>
        </w:rPr>
        <w:t>;</w:t>
      </w:r>
      <w:r w:rsidR="0006663A" w:rsidRPr="00005874">
        <w:rPr>
          <w:rFonts w:ascii="Calibri" w:hAnsi="Calibri"/>
          <w:color w:val="7F7F7F" w:themeColor="text1" w:themeTint="80"/>
          <w:sz w:val="26"/>
        </w:rPr>
        <w:t xml:space="preserve"> </w:t>
      </w:r>
      <w:r w:rsidR="00830965" w:rsidRPr="002C4A64">
        <w:rPr>
          <w:rFonts w:ascii="Calibri" w:hAnsi="Calibri"/>
          <w:color w:val="7F7F7F" w:themeColor="text1" w:themeTint="80"/>
          <w:sz w:val="26"/>
        </w:rPr>
        <w:t>tomará</w:t>
      </w:r>
      <w:r w:rsidR="00DC188B" w:rsidRPr="002C4A64">
        <w:rPr>
          <w:rFonts w:ascii="Calibri" w:hAnsi="Calibri"/>
          <w:color w:val="7F7F7F" w:themeColor="text1" w:themeTint="80"/>
          <w:sz w:val="26"/>
        </w:rPr>
        <w:t xml:space="preserve">n como valor del inmueble, </w:t>
      </w:r>
      <w:r w:rsidR="00830965" w:rsidRPr="002C4A64">
        <w:rPr>
          <w:rFonts w:ascii="Calibri" w:hAnsi="Calibri"/>
          <w:color w:val="7F7F7F" w:themeColor="text1" w:themeTint="80"/>
          <w:sz w:val="26"/>
        </w:rPr>
        <w:t>-</w:t>
      </w:r>
      <w:r w:rsidR="00DC188B" w:rsidRPr="002C4A64">
        <w:rPr>
          <w:rFonts w:ascii="Calibri" w:hAnsi="Calibri"/>
          <w:color w:val="7F7F7F" w:themeColor="text1" w:themeTint="80"/>
          <w:sz w:val="26"/>
        </w:rPr>
        <w:t>en tanto no se practique un avalúo siguiendo lo previsto en la Ley de Hacienda para los Municipios del Estado de Guanajuato</w:t>
      </w:r>
      <w:r w:rsidR="00830965" w:rsidRPr="002C4A64">
        <w:rPr>
          <w:rFonts w:ascii="Calibri" w:hAnsi="Calibri"/>
          <w:color w:val="7F7F7F" w:themeColor="text1" w:themeTint="80"/>
          <w:sz w:val="26"/>
        </w:rPr>
        <w:t>-</w:t>
      </w:r>
      <w:r w:rsidR="00DC188B" w:rsidRPr="002C4A64">
        <w:rPr>
          <w:rFonts w:ascii="Calibri" w:hAnsi="Calibri"/>
          <w:color w:val="7F7F7F" w:themeColor="text1" w:themeTint="80"/>
          <w:sz w:val="26"/>
        </w:rPr>
        <w:t>, el valor fiscal registrado anterior al valor decretado nulo, esto es</w:t>
      </w:r>
      <w:r w:rsidR="00830965" w:rsidRPr="002C4A64">
        <w:rPr>
          <w:rFonts w:ascii="Calibri" w:hAnsi="Calibri"/>
          <w:color w:val="7F7F7F" w:themeColor="text1" w:themeTint="80"/>
          <w:sz w:val="26"/>
        </w:rPr>
        <w:t>,</w:t>
      </w:r>
      <w:r w:rsidR="0006663A">
        <w:rPr>
          <w:rFonts w:ascii="Calibri" w:hAnsi="Calibri"/>
          <w:color w:val="7F7F7F" w:themeColor="text1" w:themeTint="80"/>
          <w:sz w:val="26"/>
        </w:rPr>
        <w:t xml:space="preserve"> el valor de $2’</w:t>
      </w:r>
      <w:r w:rsidR="00DC188B" w:rsidRPr="002C4A64">
        <w:rPr>
          <w:rFonts w:ascii="Calibri" w:hAnsi="Calibri"/>
          <w:color w:val="7F7F7F" w:themeColor="text1" w:themeTint="80"/>
          <w:sz w:val="26"/>
        </w:rPr>
        <w:t>719,208.10 (Dos millones setecientos diecinueve mil doscientos ocho pesos 10/100 Moneda Nacional); por lo que deberán hacer los ajustes en sus archivos, expedientes y asientos, que resulten necesarios</w:t>
      </w:r>
      <w:r w:rsidR="0006663A">
        <w:rPr>
          <w:rFonts w:ascii="Calibri" w:hAnsi="Calibri"/>
          <w:color w:val="7F7F7F" w:themeColor="text1" w:themeTint="80"/>
          <w:sz w:val="26"/>
        </w:rPr>
        <w:t xml:space="preserve">; </w:t>
      </w:r>
      <w:r w:rsidRPr="002C4A64">
        <w:rPr>
          <w:rFonts w:ascii="Calibri" w:hAnsi="Calibri"/>
          <w:color w:val="7F7F7F" w:themeColor="text1" w:themeTint="80"/>
          <w:sz w:val="26"/>
        </w:rPr>
        <w:t xml:space="preserve">debiendo informar </w:t>
      </w:r>
      <w:r w:rsidR="0006663A">
        <w:rPr>
          <w:rFonts w:ascii="Calibri" w:hAnsi="Calibri"/>
          <w:color w:val="7F7F7F" w:themeColor="text1" w:themeTint="80"/>
          <w:sz w:val="26"/>
        </w:rPr>
        <w:t xml:space="preserve">las enjuiciadas </w:t>
      </w:r>
      <w:r w:rsidRPr="002C4A64">
        <w:rPr>
          <w:rFonts w:ascii="Calibri" w:hAnsi="Calibri"/>
          <w:color w:val="7F7F7F" w:themeColor="text1" w:themeTint="80"/>
          <w:sz w:val="26"/>
        </w:rPr>
        <w:t xml:space="preserve">a este Juzgado, dentro de los </w:t>
      </w:r>
      <w:r w:rsidRPr="002C4A64">
        <w:rPr>
          <w:rFonts w:ascii="Calibri" w:hAnsi="Calibri"/>
          <w:b/>
          <w:color w:val="7F7F7F" w:themeColor="text1" w:themeTint="80"/>
          <w:sz w:val="26"/>
        </w:rPr>
        <w:t>15 quince</w:t>
      </w:r>
      <w:r w:rsidRPr="002C4A64">
        <w:rPr>
          <w:rFonts w:ascii="Calibri" w:hAnsi="Calibri"/>
          <w:color w:val="7F7F7F" w:themeColor="text1" w:themeTint="80"/>
          <w:sz w:val="26"/>
        </w:rPr>
        <w:t xml:space="preserve"> </w:t>
      </w:r>
      <w:r w:rsidRPr="002C4A64">
        <w:rPr>
          <w:rFonts w:ascii="Calibri" w:hAnsi="Calibri"/>
          <w:b/>
          <w:color w:val="7F7F7F" w:themeColor="text1" w:themeTint="80"/>
          <w:sz w:val="26"/>
        </w:rPr>
        <w:t>días</w:t>
      </w:r>
      <w:r w:rsidRPr="002C4A64">
        <w:rPr>
          <w:rFonts w:ascii="Calibri" w:hAnsi="Calibri"/>
          <w:color w:val="7F7F7F" w:themeColor="text1" w:themeTint="80"/>
          <w:sz w:val="26"/>
        </w:rPr>
        <w:t xml:space="preserve"> hábiles siguientes a que </w:t>
      </w:r>
      <w:r w:rsidRPr="002C4A64">
        <w:rPr>
          <w:rFonts w:ascii="Calibri" w:hAnsi="Calibri"/>
          <w:b/>
          <w:color w:val="7F7F7F" w:themeColor="text1" w:themeTint="80"/>
          <w:sz w:val="26"/>
        </w:rPr>
        <w:t>cause ejecutoria</w:t>
      </w:r>
      <w:r w:rsidRPr="002C4A64">
        <w:rPr>
          <w:rFonts w:ascii="Calibri" w:hAnsi="Calibri"/>
          <w:color w:val="7F7F7F" w:themeColor="text1" w:themeTint="80"/>
          <w:sz w:val="26"/>
        </w:rPr>
        <w:t xml:space="preserve"> esta sentencia, el cumplimiento que se dé a este resolutivo, acompañando las constancias que así lo acrediten. . . . . . . . . . </w:t>
      </w:r>
      <w:r w:rsidR="00830965" w:rsidRPr="002C4A64">
        <w:rPr>
          <w:rFonts w:ascii="Calibri" w:hAnsi="Calibri"/>
          <w:color w:val="7F7F7F" w:themeColor="text1" w:themeTint="80"/>
          <w:sz w:val="26"/>
        </w:rPr>
        <w:t xml:space="preserve">. . . . . . . . </w:t>
      </w:r>
      <w:r w:rsidR="00110D2C">
        <w:rPr>
          <w:rFonts w:ascii="Calibri" w:hAnsi="Calibri"/>
          <w:color w:val="7F7F7F" w:themeColor="text1" w:themeTint="80"/>
          <w:sz w:val="26"/>
        </w:rPr>
        <w:t xml:space="preserve">. . . . . . . . . . . . . . . . . . . . . . . . . . . . . . . . . . . . . . . . . </w:t>
      </w:r>
    </w:p>
    <w:p w:rsidR="00591CB1" w:rsidRPr="002C4A64" w:rsidRDefault="00591CB1" w:rsidP="00591CB1">
      <w:pPr>
        <w:pStyle w:val="Textoindependiente"/>
        <w:ind w:firstLine="708"/>
        <w:rPr>
          <w:rFonts w:ascii="Calibri" w:hAnsi="Calibri"/>
          <w:color w:val="7F7F7F" w:themeColor="text1" w:themeTint="80"/>
          <w:sz w:val="22"/>
          <w:szCs w:val="22"/>
        </w:rPr>
      </w:pPr>
    </w:p>
    <w:p w:rsidR="00591CB1" w:rsidRPr="002C4A64" w:rsidRDefault="00591CB1" w:rsidP="00591CB1">
      <w:pPr>
        <w:pStyle w:val="Textoindependiente"/>
        <w:ind w:firstLine="708"/>
        <w:rPr>
          <w:rFonts w:ascii="Calibri" w:hAnsi="Calibri"/>
          <w:color w:val="7F7F7F" w:themeColor="text1" w:themeTint="80"/>
          <w:sz w:val="26"/>
        </w:rPr>
      </w:pPr>
      <w:r w:rsidRPr="002C4A64">
        <w:rPr>
          <w:rFonts w:ascii="Calibri" w:hAnsi="Calibri"/>
          <w:color w:val="7F7F7F" w:themeColor="text1" w:themeTint="80"/>
          <w:sz w:val="26"/>
        </w:rPr>
        <w:t>L</w:t>
      </w:r>
      <w:r w:rsidRPr="002C4A64">
        <w:rPr>
          <w:rFonts w:ascii="Calibri" w:hAnsi="Calibri" w:cs="Arial"/>
          <w:color w:val="7F7F7F" w:themeColor="text1" w:themeTint="80"/>
          <w:sz w:val="26"/>
        </w:rPr>
        <w:t xml:space="preserve">o anterior, con sustento en las consideraciones lógicas y jurídicas expuestas en el Considerando Sexto de la presente sentencia. . . . . . . . . . . . . . . . . </w:t>
      </w:r>
    </w:p>
    <w:p w:rsidR="00591CB1" w:rsidRPr="002C4A64" w:rsidRDefault="00591CB1" w:rsidP="00591CB1">
      <w:pPr>
        <w:pStyle w:val="Textoindependiente"/>
        <w:rPr>
          <w:rFonts w:ascii="Calibri" w:hAnsi="Calibri"/>
          <w:color w:val="7F7F7F" w:themeColor="text1" w:themeTint="80"/>
          <w:sz w:val="22"/>
          <w:szCs w:val="22"/>
        </w:rPr>
      </w:pPr>
    </w:p>
    <w:p w:rsidR="00591CB1" w:rsidRPr="002C4A64" w:rsidRDefault="00591CB1" w:rsidP="00591CB1">
      <w:pPr>
        <w:pStyle w:val="Textoindependiente"/>
        <w:ind w:firstLine="708"/>
        <w:rPr>
          <w:rFonts w:ascii="Calibri" w:hAnsi="Calibri" w:cs="Arial"/>
          <w:color w:val="7F7F7F" w:themeColor="text1" w:themeTint="80"/>
          <w:sz w:val="26"/>
          <w:szCs w:val="26"/>
        </w:rPr>
      </w:pPr>
      <w:r w:rsidRPr="002C4A64">
        <w:rPr>
          <w:rFonts w:ascii="Calibri" w:hAnsi="Calibri" w:cs="Arial"/>
          <w:color w:val="7F7F7F" w:themeColor="text1" w:themeTint="80"/>
          <w:sz w:val="26"/>
          <w:szCs w:val="26"/>
        </w:rPr>
        <w:t xml:space="preserve">Notifíquese a las autoridades demandadas por oficio y a la parte actora personalmente. . . . . . . . . . . . . . . . . . . . . . . . . . . . . . . . . . . . . . . . . . . . . . . . . . . . . . . . </w:t>
      </w:r>
    </w:p>
    <w:p w:rsidR="00591CB1" w:rsidRPr="002C4A64" w:rsidRDefault="00591CB1" w:rsidP="00591CB1">
      <w:pPr>
        <w:pStyle w:val="Textoindependiente"/>
        <w:rPr>
          <w:rFonts w:ascii="Calibri" w:hAnsi="Calibri" w:cs="Arial"/>
          <w:color w:val="7F7F7F" w:themeColor="text1" w:themeTint="80"/>
          <w:sz w:val="22"/>
          <w:szCs w:val="22"/>
        </w:rPr>
      </w:pPr>
    </w:p>
    <w:p w:rsidR="00591CB1" w:rsidRPr="002C4A64" w:rsidRDefault="00591CB1" w:rsidP="00591CB1">
      <w:pPr>
        <w:pStyle w:val="Textoindependiente"/>
        <w:rPr>
          <w:rFonts w:ascii="Calibri" w:hAnsi="Calibri" w:cs="Arial"/>
          <w:b/>
          <w:bCs/>
          <w:color w:val="7F7F7F" w:themeColor="text1" w:themeTint="80"/>
          <w:sz w:val="26"/>
          <w:szCs w:val="26"/>
        </w:rPr>
      </w:pPr>
      <w:r w:rsidRPr="002C4A64">
        <w:rPr>
          <w:rFonts w:ascii="Calibri" w:hAnsi="Calibri" w:cs="Arial"/>
          <w:color w:val="7F7F7F" w:themeColor="text1" w:themeTint="80"/>
          <w:sz w:val="26"/>
          <w:szCs w:val="26"/>
        </w:rPr>
        <w:tab/>
        <w:t xml:space="preserve">En su oportunidad, archívese este expediente, como asunto totalmente concluido y </w:t>
      </w:r>
      <w:proofErr w:type="spellStart"/>
      <w:r w:rsidRPr="002C4A64">
        <w:rPr>
          <w:rFonts w:ascii="Calibri" w:hAnsi="Calibri" w:cs="Arial"/>
          <w:color w:val="7F7F7F" w:themeColor="text1" w:themeTint="80"/>
          <w:sz w:val="26"/>
          <w:szCs w:val="26"/>
        </w:rPr>
        <w:t>dése</w:t>
      </w:r>
      <w:proofErr w:type="spellEnd"/>
      <w:r w:rsidRPr="002C4A64">
        <w:rPr>
          <w:rFonts w:ascii="Calibri" w:hAnsi="Calibri" w:cs="Arial"/>
          <w:color w:val="7F7F7F" w:themeColor="text1" w:themeTint="80"/>
          <w:sz w:val="26"/>
          <w:szCs w:val="26"/>
        </w:rPr>
        <w:t xml:space="preserve"> de baja en el Libro de Registros que se lleva para tal efecto. . . . </w:t>
      </w:r>
    </w:p>
    <w:p w:rsidR="00591CB1" w:rsidRPr="002C4A64" w:rsidRDefault="00591CB1" w:rsidP="00591CB1">
      <w:pPr>
        <w:pStyle w:val="Textoindependiente"/>
        <w:rPr>
          <w:rFonts w:ascii="Calibri" w:hAnsi="Calibri" w:cs="Arial"/>
          <w:color w:val="7F7F7F" w:themeColor="text1" w:themeTint="80"/>
          <w:sz w:val="22"/>
          <w:szCs w:val="22"/>
        </w:rPr>
      </w:pPr>
    </w:p>
    <w:p w:rsidR="00591CB1" w:rsidRPr="002C4A64" w:rsidRDefault="00591CB1" w:rsidP="00591CB1">
      <w:pPr>
        <w:pStyle w:val="Textoindependiente"/>
        <w:ind w:firstLine="708"/>
        <w:rPr>
          <w:rFonts w:ascii="Calibri" w:hAnsi="Calibri"/>
          <w:color w:val="7F7F7F" w:themeColor="text1" w:themeTint="80"/>
          <w:sz w:val="26"/>
        </w:rPr>
      </w:pPr>
      <w:r w:rsidRPr="002C4A64">
        <w:rPr>
          <w:rFonts w:ascii="Calibri" w:hAnsi="Calibri"/>
          <w:color w:val="7F7F7F" w:themeColor="text1" w:themeTint="80"/>
          <w:sz w:val="26"/>
        </w:rPr>
        <w:t xml:space="preserve">Así lo resolvió y firma el Licenciado </w:t>
      </w:r>
      <w:r w:rsidRPr="002C4A64">
        <w:rPr>
          <w:rFonts w:ascii="Calibri" w:hAnsi="Calibri"/>
          <w:b/>
          <w:bCs/>
          <w:color w:val="7F7F7F" w:themeColor="text1" w:themeTint="80"/>
          <w:sz w:val="26"/>
        </w:rPr>
        <w:t>Ernesto Alejandro Mora Álvarez</w:t>
      </w:r>
      <w:r w:rsidRPr="002C4A64">
        <w:rPr>
          <w:rFonts w:ascii="Calibri" w:hAnsi="Calibri"/>
          <w:color w:val="7F7F7F" w:themeColor="text1" w:themeTint="80"/>
          <w:sz w:val="26"/>
        </w:rPr>
        <w:t xml:space="preserve">, Juez Segundo Administrativo Municipal de León, Guanajuato, quien actúa asistido en forma legal con Secretaria de Estudio y Cuenta, Licenciada </w:t>
      </w:r>
      <w:r w:rsidRPr="002C4A64">
        <w:rPr>
          <w:rFonts w:ascii="Calibri" w:hAnsi="Calibri"/>
          <w:b/>
          <w:bCs/>
          <w:color w:val="7F7F7F" w:themeColor="text1" w:themeTint="80"/>
          <w:sz w:val="26"/>
        </w:rPr>
        <w:t>María del Rocío Villanueva Sánchez</w:t>
      </w:r>
      <w:r w:rsidRPr="002C4A64">
        <w:rPr>
          <w:rFonts w:ascii="Calibri" w:hAnsi="Calibri"/>
          <w:color w:val="7F7F7F" w:themeColor="text1" w:themeTint="80"/>
          <w:sz w:val="26"/>
        </w:rPr>
        <w:t xml:space="preserve">, quien da fe. . . . . . . . . . . . . . . . . . . . . . . . . . . . . . . . . . . . . . . . . . </w:t>
      </w:r>
    </w:p>
    <w:p w:rsidR="00C40632" w:rsidRPr="002C4A64" w:rsidRDefault="00C40632">
      <w:pPr>
        <w:rPr>
          <w:color w:val="7F7F7F" w:themeColor="text1" w:themeTint="80"/>
        </w:rPr>
      </w:pPr>
    </w:p>
    <w:sectPr w:rsidR="00C40632" w:rsidRPr="002C4A64" w:rsidSect="009A6989">
      <w:headerReference w:type="even" r:id="rId7"/>
      <w:headerReference w:type="default" r:id="rId8"/>
      <w:headerReference w:type="firs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EF8" w:rsidRDefault="00E11EF8">
      <w:r>
        <w:separator/>
      </w:r>
    </w:p>
  </w:endnote>
  <w:endnote w:type="continuationSeparator" w:id="0">
    <w:p w:rsidR="00E11EF8" w:rsidRDefault="00E1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EF8" w:rsidRDefault="00E11EF8">
      <w:r>
        <w:separator/>
      </w:r>
    </w:p>
  </w:footnote>
  <w:footnote w:type="continuationSeparator" w:id="0">
    <w:p w:rsidR="00E11EF8" w:rsidRDefault="00E11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9B" w:rsidRDefault="003B339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B339B" w:rsidRDefault="003B33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39B" w:rsidRDefault="003B339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7289">
      <w:rPr>
        <w:rStyle w:val="Nmerodepgina"/>
        <w:noProof/>
      </w:rPr>
      <w:t>8</w:t>
    </w:r>
    <w:r>
      <w:rPr>
        <w:rStyle w:val="Nmerodepgina"/>
      </w:rPr>
      <w:fldChar w:fldCharType="end"/>
    </w:r>
  </w:p>
  <w:p w:rsidR="003B339B" w:rsidRDefault="003B33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989" w:rsidRDefault="009A6989" w:rsidP="009A6989">
    <w:pPr>
      <w:pStyle w:val="Encabezado"/>
      <w:tabs>
        <w:tab w:val="left" w:pos="28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B1"/>
    <w:rsid w:val="00005874"/>
    <w:rsid w:val="0002053A"/>
    <w:rsid w:val="00033F0A"/>
    <w:rsid w:val="00041501"/>
    <w:rsid w:val="000610B1"/>
    <w:rsid w:val="0006663A"/>
    <w:rsid w:val="00083F34"/>
    <w:rsid w:val="00096EA3"/>
    <w:rsid w:val="000B1790"/>
    <w:rsid w:val="000C7648"/>
    <w:rsid w:val="000D580A"/>
    <w:rsid w:val="000E6AA0"/>
    <w:rsid w:val="00110D2C"/>
    <w:rsid w:val="0012493C"/>
    <w:rsid w:val="0014030A"/>
    <w:rsid w:val="00160C08"/>
    <w:rsid w:val="0018692B"/>
    <w:rsid w:val="001C52AB"/>
    <w:rsid w:val="001D1986"/>
    <w:rsid w:val="001F1C84"/>
    <w:rsid w:val="00203B43"/>
    <w:rsid w:val="00206EAF"/>
    <w:rsid w:val="00210474"/>
    <w:rsid w:val="00223859"/>
    <w:rsid w:val="00237731"/>
    <w:rsid w:val="00264CE1"/>
    <w:rsid w:val="002658C4"/>
    <w:rsid w:val="00275001"/>
    <w:rsid w:val="00290CE2"/>
    <w:rsid w:val="002977C1"/>
    <w:rsid w:val="002C0639"/>
    <w:rsid w:val="002C4323"/>
    <w:rsid w:val="002C4A64"/>
    <w:rsid w:val="00304528"/>
    <w:rsid w:val="00307219"/>
    <w:rsid w:val="00307289"/>
    <w:rsid w:val="0031350C"/>
    <w:rsid w:val="0033711B"/>
    <w:rsid w:val="00341432"/>
    <w:rsid w:val="00341BD2"/>
    <w:rsid w:val="003915FC"/>
    <w:rsid w:val="003B339B"/>
    <w:rsid w:val="003D07A3"/>
    <w:rsid w:val="003D1AA1"/>
    <w:rsid w:val="003D2EEA"/>
    <w:rsid w:val="004319B9"/>
    <w:rsid w:val="004A3DB5"/>
    <w:rsid w:val="004C5A3B"/>
    <w:rsid w:val="004F2E47"/>
    <w:rsid w:val="0050533E"/>
    <w:rsid w:val="00557F91"/>
    <w:rsid w:val="005663D5"/>
    <w:rsid w:val="005730CE"/>
    <w:rsid w:val="0059005B"/>
    <w:rsid w:val="00591CB1"/>
    <w:rsid w:val="005D2932"/>
    <w:rsid w:val="005D7BDB"/>
    <w:rsid w:val="005F679C"/>
    <w:rsid w:val="00654ED4"/>
    <w:rsid w:val="006B0DD3"/>
    <w:rsid w:val="006C01AE"/>
    <w:rsid w:val="006C71B0"/>
    <w:rsid w:val="00713569"/>
    <w:rsid w:val="0077534C"/>
    <w:rsid w:val="007B3385"/>
    <w:rsid w:val="00805649"/>
    <w:rsid w:val="00823E12"/>
    <w:rsid w:val="00825551"/>
    <w:rsid w:val="00830965"/>
    <w:rsid w:val="00843436"/>
    <w:rsid w:val="008460C3"/>
    <w:rsid w:val="00862E16"/>
    <w:rsid w:val="00920117"/>
    <w:rsid w:val="0092336A"/>
    <w:rsid w:val="009448F4"/>
    <w:rsid w:val="00946C15"/>
    <w:rsid w:val="00967DD9"/>
    <w:rsid w:val="009A2B7E"/>
    <w:rsid w:val="009A6989"/>
    <w:rsid w:val="009B1954"/>
    <w:rsid w:val="009B70B9"/>
    <w:rsid w:val="009F75BC"/>
    <w:rsid w:val="009F7EBF"/>
    <w:rsid w:val="00A22514"/>
    <w:rsid w:val="00A3463D"/>
    <w:rsid w:val="00A514FD"/>
    <w:rsid w:val="00A561D3"/>
    <w:rsid w:val="00B405D6"/>
    <w:rsid w:val="00B533B1"/>
    <w:rsid w:val="00B65EF9"/>
    <w:rsid w:val="00BE133F"/>
    <w:rsid w:val="00C05F86"/>
    <w:rsid w:val="00C155F2"/>
    <w:rsid w:val="00C23BBC"/>
    <w:rsid w:val="00C3397C"/>
    <w:rsid w:val="00C40632"/>
    <w:rsid w:val="00C40B93"/>
    <w:rsid w:val="00C5585C"/>
    <w:rsid w:val="00C67D3C"/>
    <w:rsid w:val="00CA5C4C"/>
    <w:rsid w:val="00CB5593"/>
    <w:rsid w:val="00CC5369"/>
    <w:rsid w:val="00CE68F4"/>
    <w:rsid w:val="00CF1967"/>
    <w:rsid w:val="00D078A0"/>
    <w:rsid w:val="00D60870"/>
    <w:rsid w:val="00DA7CE3"/>
    <w:rsid w:val="00DC188B"/>
    <w:rsid w:val="00DC46D8"/>
    <w:rsid w:val="00DD2349"/>
    <w:rsid w:val="00DE7F8A"/>
    <w:rsid w:val="00E11EF8"/>
    <w:rsid w:val="00E21D75"/>
    <w:rsid w:val="00E4014E"/>
    <w:rsid w:val="00E561AE"/>
    <w:rsid w:val="00E65FFB"/>
    <w:rsid w:val="00EA4763"/>
    <w:rsid w:val="00EC75F2"/>
    <w:rsid w:val="00ED6191"/>
    <w:rsid w:val="00F27B4E"/>
    <w:rsid w:val="00F81024"/>
    <w:rsid w:val="00FB6E5C"/>
    <w:rsid w:val="00FC7A1F"/>
    <w:rsid w:val="00FE4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91CB1"/>
    <w:pPr>
      <w:spacing w:before="100" w:beforeAutospacing="1" w:after="100" w:afterAutospacing="1"/>
    </w:pPr>
  </w:style>
  <w:style w:type="paragraph" w:styleId="Sangradetextonormal">
    <w:name w:val="Body Text Indent"/>
    <w:basedOn w:val="Normal"/>
    <w:link w:val="SangradetextonormalCar"/>
    <w:semiHidden/>
    <w:rsid w:val="00591CB1"/>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591CB1"/>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591CB1"/>
    <w:pPr>
      <w:jc w:val="both"/>
    </w:pPr>
    <w:rPr>
      <w:rFonts w:ascii="Garamond" w:hAnsi="Garamond"/>
      <w:sz w:val="27"/>
    </w:rPr>
  </w:style>
  <w:style w:type="character" w:customStyle="1" w:styleId="TextoindependienteCar">
    <w:name w:val="Texto independiente Car"/>
    <w:basedOn w:val="Fuentedeprrafopredeter"/>
    <w:link w:val="Textoindependiente"/>
    <w:semiHidden/>
    <w:rsid w:val="00591CB1"/>
    <w:rPr>
      <w:rFonts w:ascii="Garamond" w:eastAsia="Times New Roman" w:hAnsi="Garamond" w:cs="Times New Roman"/>
      <w:sz w:val="27"/>
      <w:szCs w:val="24"/>
      <w:lang w:val="es-ES" w:eastAsia="es-ES"/>
    </w:rPr>
  </w:style>
  <w:style w:type="paragraph" w:customStyle="1" w:styleId="Normal0">
    <w:name w:val="[Normal]"/>
    <w:rsid w:val="00591CB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semiHidden/>
    <w:rsid w:val="00591CB1"/>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591CB1"/>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semiHidden/>
    <w:rsid w:val="00591CB1"/>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91CB1"/>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591CB1"/>
  </w:style>
  <w:style w:type="paragraph" w:styleId="Encabezado">
    <w:name w:val="header"/>
    <w:basedOn w:val="Normal"/>
    <w:link w:val="EncabezadoCar"/>
    <w:semiHidden/>
    <w:rsid w:val="00591CB1"/>
    <w:pPr>
      <w:tabs>
        <w:tab w:val="center" w:pos="4419"/>
        <w:tab w:val="right" w:pos="8838"/>
      </w:tabs>
    </w:pPr>
  </w:style>
  <w:style w:type="character" w:customStyle="1" w:styleId="EncabezadoCar">
    <w:name w:val="Encabezado Car"/>
    <w:basedOn w:val="Fuentedeprrafopredeter"/>
    <w:link w:val="Encabezado"/>
    <w:semiHidden/>
    <w:rsid w:val="00591CB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A6989"/>
    <w:pPr>
      <w:tabs>
        <w:tab w:val="center" w:pos="4419"/>
        <w:tab w:val="right" w:pos="8838"/>
      </w:tabs>
    </w:pPr>
  </w:style>
  <w:style w:type="character" w:customStyle="1" w:styleId="PiedepginaCar">
    <w:name w:val="Pie de página Car"/>
    <w:basedOn w:val="Fuentedeprrafopredeter"/>
    <w:link w:val="Piedepgina"/>
    <w:uiPriority w:val="99"/>
    <w:rsid w:val="009A698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C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591CB1"/>
    <w:pPr>
      <w:spacing w:before="100" w:beforeAutospacing="1" w:after="100" w:afterAutospacing="1"/>
    </w:pPr>
  </w:style>
  <w:style w:type="paragraph" w:styleId="Sangradetextonormal">
    <w:name w:val="Body Text Indent"/>
    <w:basedOn w:val="Normal"/>
    <w:link w:val="SangradetextonormalCar"/>
    <w:semiHidden/>
    <w:rsid w:val="00591CB1"/>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591CB1"/>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591CB1"/>
    <w:pPr>
      <w:jc w:val="both"/>
    </w:pPr>
    <w:rPr>
      <w:rFonts w:ascii="Garamond" w:hAnsi="Garamond"/>
      <w:sz w:val="27"/>
    </w:rPr>
  </w:style>
  <w:style w:type="character" w:customStyle="1" w:styleId="TextoindependienteCar">
    <w:name w:val="Texto independiente Car"/>
    <w:basedOn w:val="Fuentedeprrafopredeter"/>
    <w:link w:val="Textoindependiente"/>
    <w:semiHidden/>
    <w:rsid w:val="00591CB1"/>
    <w:rPr>
      <w:rFonts w:ascii="Garamond" w:eastAsia="Times New Roman" w:hAnsi="Garamond" w:cs="Times New Roman"/>
      <w:sz w:val="27"/>
      <w:szCs w:val="24"/>
      <w:lang w:val="es-ES" w:eastAsia="es-ES"/>
    </w:rPr>
  </w:style>
  <w:style w:type="paragraph" w:customStyle="1" w:styleId="Normal0">
    <w:name w:val="[Normal]"/>
    <w:rsid w:val="00591CB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semiHidden/>
    <w:rsid w:val="00591CB1"/>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591CB1"/>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semiHidden/>
    <w:rsid w:val="00591CB1"/>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591CB1"/>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591CB1"/>
  </w:style>
  <w:style w:type="paragraph" w:styleId="Encabezado">
    <w:name w:val="header"/>
    <w:basedOn w:val="Normal"/>
    <w:link w:val="EncabezadoCar"/>
    <w:semiHidden/>
    <w:rsid w:val="00591CB1"/>
    <w:pPr>
      <w:tabs>
        <w:tab w:val="center" w:pos="4419"/>
        <w:tab w:val="right" w:pos="8838"/>
      </w:tabs>
    </w:pPr>
  </w:style>
  <w:style w:type="character" w:customStyle="1" w:styleId="EncabezadoCar">
    <w:name w:val="Encabezado Car"/>
    <w:basedOn w:val="Fuentedeprrafopredeter"/>
    <w:link w:val="Encabezado"/>
    <w:semiHidden/>
    <w:rsid w:val="00591CB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A6989"/>
    <w:pPr>
      <w:tabs>
        <w:tab w:val="center" w:pos="4419"/>
        <w:tab w:val="right" w:pos="8838"/>
      </w:tabs>
    </w:pPr>
  </w:style>
  <w:style w:type="character" w:customStyle="1" w:styleId="PiedepginaCar">
    <w:name w:val="Pie de página Car"/>
    <w:basedOn w:val="Fuentedeprrafopredeter"/>
    <w:link w:val="Piedepgina"/>
    <w:uiPriority w:val="99"/>
    <w:rsid w:val="009A698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74308">
      <w:bodyDiv w:val="1"/>
      <w:marLeft w:val="0"/>
      <w:marRight w:val="0"/>
      <w:marTop w:val="0"/>
      <w:marBottom w:val="0"/>
      <w:divBdr>
        <w:top w:val="none" w:sz="0" w:space="0" w:color="auto"/>
        <w:left w:val="none" w:sz="0" w:space="0" w:color="auto"/>
        <w:bottom w:val="none" w:sz="0" w:space="0" w:color="auto"/>
        <w:right w:val="none" w:sz="0" w:space="0" w:color="auto"/>
      </w:divBdr>
    </w:div>
    <w:div w:id="20222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3600</Words>
  <Characters>19803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2017-01-30T21:21:00Z</dcterms:created>
  <dcterms:modified xsi:type="dcterms:W3CDTF">2017-01-30T21:21:00Z</dcterms:modified>
</cp:coreProperties>
</file>